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B97FEB">
      <w:pPr>
        <w:outlineLvl w:val="9"/>
        <w:rPr>
          <w:rFonts w:hint="eastAsia" w:eastAsia="宋体"/>
          <w:lang w:eastAsia="zh-CN"/>
        </w:rPr>
      </w:pPr>
      <w:r>
        <w:rPr>
          <w:sz w:val="24"/>
        </w:rPr>
        <mc:AlternateContent>
          <mc:Choice Requires="wps">
            <w:drawing>
              <wp:anchor distT="0" distB="0" distL="114300" distR="114300" simplePos="0" relativeHeight="251660288" behindDoc="0" locked="0" layoutInCell="1" allowOverlap="1">
                <wp:simplePos x="0" y="0"/>
                <wp:positionH relativeFrom="column">
                  <wp:posOffset>-829310</wp:posOffset>
                </wp:positionH>
                <wp:positionV relativeFrom="paragraph">
                  <wp:posOffset>985520</wp:posOffset>
                </wp:positionV>
                <wp:extent cx="3524885" cy="1692275"/>
                <wp:effectExtent l="0" t="0" r="0" b="0"/>
                <wp:wrapNone/>
                <wp:docPr id="11" name="文本框 12"/>
                <wp:cNvGraphicFramePr/>
                <a:graphic xmlns:a="http://schemas.openxmlformats.org/drawingml/2006/main">
                  <a:graphicData uri="http://schemas.microsoft.com/office/word/2010/wordprocessingShape">
                    <wps:wsp>
                      <wps:cNvSpPr txBox="1"/>
                      <wps:spPr>
                        <a:xfrm>
                          <a:off x="1003935" y="1851660"/>
                          <a:ext cx="3524885" cy="1692275"/>
                        </a:xfrm>
                        <a:prstGeom prst="rect">
                          <a:avLst/>
                        </a:prstGeom>
                        <a:noFill/>
                        <a:ln>
                          <a:noFill/>
                        </a:ln>
                      </wps:spPr>
                      <wps:txbx>
                        <w:txbxContent>
                          <w:p w14:paraId="36A9D3D3">
                            <w:pPr>
                              <w:rPr>
                                <w:rFonts w:hint="default" w:ascii="Impact" w:hAnsi="Impact" w:eastAsia="幼圆" w:cs="Impact"/>
                                <w:color w:val="0085BF"/>
                                <w:kern w:val="0"/>
                                <w:sz w:val="220"/>
                                <w:szCs w:val="220"/>
                                <w:lang w:val="en-US" w:eastAsia="zh-CN"/>
                              </w:rPr>
                            </w:pPr>
                            <w:r>
                              <w:rPr>
                                <w:rFonts w:hint="eastAsia" w:ascii="Impact" w:hAnsi="Impact" w:eastAsia="幼圆" w:cs="Impact"/>
                                <w:color w:val="0085BF"/>
                                <w:kern w:val="0"/>
                                <w:sz w:val="220"/>
                                <w:szCs w:val="220"/>
                                <w:lang w:val="en-US" w:eastAsia="zh-CN"/>
                              </w:rPr>
                              <w:t>2025</w:t>
                            </w:r>
                          </w:p>
                        </w:txbxContent>
                      </wps:txbx>
                      <wps:bodyPr wrap="square" upright="0"/>
                    </wps:wsp>
                  </a:graphicData>
                </a:graphic>
              </wp:anchor>
            </w:drawing>
          </mc:Choice>
          <mc:Fallback>
            <w:pict>
              <v:shape id="文本框 12" o:spid="_x0000_s1026" o:spt="202" type="#_x0000_t202" style="position:absolute;left:0pt;margin-left:-65.3pt;margin-top:77.6pt;height:133.25pt;width:277.55pt;z-index:251660288;mso-width-relative:page;mso-height-relative:page;" filled="f" stroked="f" coordsize="21600,21600" o:gfxdata="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iqNMB2AAAAAwBAAAPAAAAAAAAAAEAIAAAACIAAABkcnMvZG93bnJl&#10;di54bWxQSwECFAAUAAAACACHTuJA4V5ZlsQBAABrAwAADgAAAAAAAAABACAAAAAnAQAAZHJzL2Uy&#10;b0RvYy54bWxQSwUGAAAAAAYABgBZAQAAXQUAAAAA&#10;">
                <v:fill on="f" focussize="0,0"/>
                <v:stroke on="f"/>
                <v:imagedata o:title=""/>
                <o:lock v:ext="edit" aspectratio="f"/>
                <v:textbox>
                  <w:txbxContent>
                    <w:p w14:paraId="36A9D3D3">
                      <w:pPr>
                        <w:rPr>
                          <w:rFonts w:hint="default" w:ascii="Impact" w:hAnsi="Impact" w:eastAsia="幼圆" w:cs="Impact"/>
                          <w:color w:val="0085BF"/>
                          <w:kern w:val="0"/>
                          <w:sz w:val="220"/>
                          <w:szCs w:val="220"/>
                          <w:lang w:val="en-US" w:eastAsia="zh-CN"/>
                        </w:rPr>
                      </w:pPr>
                      <w:r>
                        <w:rPr>
                          <w:rFonts w:hint="eastAsia" w:ascii="Impact" w:hAnsi="Impact" w:eastAsia="幼圆" w:cs="Impact"/>
                          <w:color w:val="0085BF"/>
                          <w:kern w:val="0"/>
                          <w:sz w:val="220"/>
                          <w:szCs w:val="220"/>
                          <w:lang w:val="en-US" w:eastAsia="zh-CN"/>
                        </w:rPr>
                        <w:t>2025</w:t>
                      </w:r>
                    </w:p>
                  </w:txbxContent>
                </v:textbox>
              </v:shape>
            </w:pict>
          </mc:Fallback>
        </mc:AlternateContent>
      </w:r>
      <w:r>
        <w:rPr>
          <w:sz w:val="21"/>
        </w:rPr>
        <mc:AlternateContent>
          <mc:Choice Requires="wpg">
            <w:drawing>
              <wp:anchor distT="0" distB="0" distL="114300" distR="114300" simplePos="0" relativeHeight="251661312" behindDoc="0" locked="0" layoutInCell="1" allowOverlap="1">
                <wp:simplePos x="0" y="0"/>
                <wp:positionH relativeFrom="column">
                  <wp:posOffset>-876935</wp:posOffset>
                </wp:positionH>
                <wp:positionV relativeFrom="paragraph">
                  <wp:posOffset>2222500</wp:posOffset>
                </wp:positionV>
                <wp:extent cx="6611620" cy="3421380"/>
                <wp:effectExtent l="0" t="0" r="0" b="0"/>
                <wp:wrapNone/>
                <wp:docPr id="12" name="组合 12"/>
                <wp:cNvGraphicFramePr/>
                <a:graphic xmlns:a="http://schemas.openxmlformats.org/drawingml/2006/main">
                  <a:graphicData uri="http://schemas.microsoft.com/office/word/2010/wordprocessingGroup">
                    <wpg:wgp>
                      <wpg:cNvGrpSpPr/>
                      <wpg:grpSpPr>
                        <a:xfrm>
                          <a:off x="0" y="0"/>
                          <a:ext cx="6611620" cy="3421460"/>
                          <a:chOff x="7782" y="10808"/>
                          <a:chExt cx="10412" cy="2901"/>
                        </a:xfrm>
                      </wpg:grpSpPr>
                      <wps:wsp>
                        <wps:cNvPr id="30" name="文本框 11"/>
                        <wps:cNvSpPr txBox="1"/>
                        <wps:spPr>
                          <a:xfrm>
                            <a:off x="7782" y="10808"/>
                            <a:ext cx="10412" cy="1253"/>
                          </a:xfrm>
                          <a:prstGeom prst="rect">
                            <a:avLst/>
                          </a:prstGeom>
                          <a:noFill/>
                          <a:ln>
                            <a:noFill/>
                          </a:ln>
                        </wps:spPr>
                        <wps:txbx>
                          <w:txbxContent>
                            <w:p w14:paraId="10D74064">
                              <w:pPr>
                                <w:jc w:val="left"/>
                                <w:rPr>
                                  <w:rFonts w:hint="default"/>
                                  <w:color w:val="0085BF"/>
                                  <w:sz w:val="21"/>
                                  <w:szCs w:val="24"/>
                                  <w:lang w:val="en-US" w:eastAsia="zh-CN"/>
                                </w:rPr>
                              </w:pPr>
                              <w:r>
                                <w:rPr>
                                  <w:rFonts w:hint="eastAsia" w:ascii="微软雅黑" w:hAnsi="微软雅黑" w:eastAsia="微软雅黑" w:cs="微软雅黑"/>
                                  <w:b/>
                                  <w:bCs w:val="0"/>
                                  <w:color w:val="0085BF"/>
                                  <w:kern w:val="24"/>
                                  <w:sz w:val="112"/>
                                  <w:szCs w:val="112"/>
                                  <w:lang w:val="en-US" w:eastAsia="zh-CN" w:bidi="ar"/>
                                </w:rPr>
                                <w:t>职业教育质量报告</w:t>
                              </w:r>
                            </w:p>
                          </w:txbxContent>
                        </wps:txbx>
                        <wps:bodyPr wrap="square" upright="0">
                          <a:spAutoFit/>
                        </wps:bodyPr>
                      </wps:wsp>
                      <wps:wsp>
                        <wps:cNvPr id="31" name="文本框 13"/>
                        <wps:cNvSpPr txBox="1"/>
                        <wps:spPr>
                          <a:xfrm>
                            <a:off x="7805" y="12235"/>
                            <a:ext cx="8055" cy="1474"/>
                          </a:xfrm>
                          <a:prstGeom prst="rect">
                            <a:avLst/>
                          </a:prstGeom>
                          <a:noFill/>
                          <a:ln>
                            <a:noFill/>
                          </a:ln>
                        </wps:spPr>
                        <wps:txbx>
                          <w:txbxContent>
                            <w:p w14:paraId="5ADF9EED">
                              <w:pPr>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color w:val="595959" w:themeColor="text1" w:themeTint="A6"/>
                                  <w:sz w:val="32"/>
                                  <w:szCs w:val="40"/>
                                  <w:lang w:val="en-US" w:eastAsia="zh-CN"/>
                                  <w14:textFill>
                                    <w14:solidFill>
                                      <w14:schemeClr w14:val="tx1">
                                        <w14:lumMod w14:val="65000"/>
                                        <w14:lumOff w14:val="35000"/>
                                      </w14:schemeClr>
                                    </w14:solidFill>
                                  </w14:textFill>
                                </w:rPr>
                              </w:pPr>
                              <w:r>
                                <w:rPr>
                                  <w:rFonts w:hint="eastAsia" w:ascii="微软雅黑" w:hAnsi="微软雅黑" w:eastAsia="微软雅黑" w:cs="微软雅黑"/>
                                  <w:color w:val="595959" w:themeColor="text1" w:themeTint="A6"/>
                                  <w:kern w:val="24"/>
                                  <w:sz w:val="60"/>
                                  <w:szCs w:val="60"/>
                                  <w:lang w:val="en-US" w:eastAsia="zh-CN" w:bidi="ar"/>
                                  <w14:textFill>
                                    <w14:solidFill>
                                      <w14:schemeClr w14:val="tx1">
                                        <w14:lumMod w14:val="65000"/>
                                        <w14:lumOff w14:val="35000"/>
                                      </w14:schemeClr>
                                    </w14:solidFill>
                                  </w14:textFill>
                                </w:rPr>
                                <w:t>合肥东辰职业学校</w:t>
                              </w:r>
                            </w:p>
                          </w:txbxContent>
                        </wps:txbx>
                        <wps:bodyPr wrap="square" upright="0">
                          <a:noAutofit/>
                        </wps:bodyPr>
                      </wps:wsp>
                    </wpg:wgp>
                  </a:graphicData>
                </a:graphic>
              </wp:anchor>
            </w:drawing>
          </mc:Choice>
          <mc:Fallback>
            <w:pict>
              <v:group id="_x0000_s1026" o:spid="_x0000_s1026" o:spt="203" style="position:absolute;left:0pt;margin-left:-69.05pt;margin-top:175pt;height:269.4pt;width:520.6pt;z-index:251661312;mso-width-relative:page;mso-height-relative:page;" coordorigin="7782,10808" coordsize="10412,2901" o:gfxdata="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C461gV2gAAAAwBAAAPAAAAAAAAAAEAIAAAACIAAABkcnMvZG93bnJldi54&#10;bWxQSwECFAAUAAAACACHTuJAFdpwM2oCAABMBgAADgAAAAAAAAABACAAAAApAQAAZHJzL2Uyb0Rv&#10;Yy54bWxQSwUGAAAAAAYABgBZAQAABQYAAAAA&#10;">
                <o:lock v:ext="edit" aspectratio="f"/>
                <v:shape id="文本框 11" o:spid="_x0000_s1026" o:spt="202" type="#_x0000_t202" style="position:absolute;left:7782;top:10808;height:1253;width:10412;" filled="f" stroked="f" coordsize="21600,21600" o:gfxdata="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ngVoV7gAAADbAAAA&#10;DwAAAAAAAAABACAAAAAiAAAAZHJzL2Rvd25yZXYueG1sUEsBAhQAFAAAAAgAh07iQDMvBZ47AAAA&#10;OQAAABAAAAAAAAAAAQAgAAAABwEAAGRycy9zaGFwZXhtbC54bWxQSwUGAAAAAAYABgBbAQAAsQMA&#10;AAAA&#10;">
                  <v:fill on="f" focussize="0,0"/>
                  <v:stroke on="f"/>
                  <v:imagedata o:title=""/>
                  <o:lock v:ext="edit" aspectratio="f"/>
                  <v:textbox style="mso-fit-shape-to-text:t;">
                    <w:txbxContent>
                      <w:p w14:paraId="10D74064">
                        <w:pPr>
                          <w:jc w:val="left"/>
                          <w:rPr>
                            <w:rFonts w:hint="default"/>
                            <w:color w:val="0085BF"/>
                            <w:sz w:val="21"/>
                            <w:szCs w:val="24"/>
                            <w:lang w:val="en-US" w:eastAsia="zh-CN"/>
                          </w:rPr>
                        </w:pPr>
                        <w:r>
                          <w:rPr>
                            <w:rFonts w:hint="eastAsia" w:ascii="微软雅黑" w:hAnsi="微软雅黑" w:eastAsia="微软雅黑" w:cs="微软雅黑"/>
                            <w:b/>
                            <w:bCs w:val="0"/>
                            <w:color w:val="0085BF"/>
                            <w:kern w:val="24"/>
                            <w:sz w:val="112"/>
                            <w:szCs w:val="112"/>
                            <w:lang w:val="en-US" w:eastAsia="zh-CN" w:bidi="ar"/>
                          </w:rPr>
                          <w:t>职业教育质量报告</w:t>
                        </w:r>
                      </w:p>
                    </w:txbxContent>
                  </v:textbox>
                </v:shape>
                <v:shape id="文本框 13" o:spid="_x0000_s1026" o:spt="202" type="#_x0000_t202" style="position:absolute;left:7805;top:12235;height:1474;width:8055;" filled="f" stroked="f" coordsize="21600,21600" o:gfxdata="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Sn8N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5ADF9EED">
                        <w:pPr>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color w:val="595959" w:themeColor="text1" w:themeTint="A6"/>
                            <w:sz w:val="32"/>
                            <w:szCs w:val="40"/>
                            <w:lang w:val="en-US" w:eastAsia="zh-CN"/>
                            <w14:textFill>
                              <w14:solidFill>
                                <w14:schemeClr w14:val="tx1">
                                  <w14:lumMod w14:val="65000"/>
                                  <w14:lumOff w14:val="35000"/>
                                </w14:schemeClr>
                              </w14:solidFill>
                            </w14:textFill>
                          </w:rPr>
                        </w:pPr>
                        <w:r>
                          <w:rPr>
                            <w:rFonts w:hint="eastAsia" w:ascii="微软雅黑" w:hAnsi="微软雅黑" w:eastAsia="微软雅黑" w:cs="微软雅黑"/>
                            <w:color w:val="595959" w:themeColor="text1" w:themeTint="A6"/>
                            <w:kern w:val="24"/>
                            <w:sz w:val="60"/>
                            <w:szCs w:val="60"/>
                            <w:lang w:val="en-US" w:eastAsia="zh-CN" w:bidi="ar"/>
                            <w14:textFill>
                              <w14:solidFill>
                                <w14:schemeClr w14:val="tx1">
                                  <w14:lumMod w14:val="65000"/>
                                  <w14:lumOff w14:val="35000"/>
                                </w14:schemeClr>
                              </w14:solidFill>
                            </w14:textFill>
                          </w:rPr>
                          <w:t>合肥东辰职业学校</w:t>
                        </w:r>
                      </w:p>
                    </w:txbxContent>
                  </v:textbox>
                </v:shape>
              </v:group>
            </w:pict>
          </mc:Fallback>
        </mc:AlternateContent>
      </w:r>
      <w:r>
        <w:drawing>
          <wp:anchor distT="0" distB="0" distL="114935" distR="114935" simplePos="0" relativeHeight="251662336" behindDoc="1" locked="0" layoutInCell="1" allowOverlap="1">
            <wp:simplePos x="0" y="0"/>
            <wp:positionH relativeFrom="column">
              <wp:posOffset>-1149350</wp:posOffset>
            </wp:positionH>
            <wp:positionV relativeFrom="paragraph">
              <wp:posOffset>-941705</wp:posOffset>
            </wp:positionV>
            <wp:extent cx="7581265" cy="10741025"/>
            <wp:effectExtent l="0" t="0" r="635" b="3175"/>
            <wp:wrapNone/>
            <wp:docPr id="32" name="图片 32" descr="蓝色曲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蓝色曲线"/>
                    <pic:cNvPicPr>
                      <a:picLocks noChangeAspect="1"/>
                    </pic:cNvPicPr>
                  </pic:nvPicPr>
                  <pic:blipFill>
                    <a:blip r:embed="rId6"/>
                    <a:stretch>
                      <a:fillRect/>
                    </a:stretch>
                  </pic:blipFill>
                  <pic:spPr>
                    <a:xfrm>
                      <a:off x="0" y="0"/>
                      <a:ext cx="7581265" cy="10741025"/>
                    </a:xfrm>
                    <a:prstGeom prst="rect">
                      <a:avLst/>
                    </a:prstGeom>
                  </pic:spPr>
                </pic:pic>
              </a:graphicData>
            </a:graphic>
          </wp:anchor>
        </w:drawing>
      </w:r>
    </w:p>
    <w:p w14:paraId="53E82146">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方正黑体_GBK" w:hAnsi="方正黑体_GBK" w:eastAsia="方正黑体_GBK" w:cs="方正黑体_GBK"/>
          <w:sz w:val="32"/>
          <w:szCs w:val="32"/>
        </w:rPr>
        <w:sectPr>
          <w:footerReference r:id="rId3" w:type="default"/>
          <w:pgSz w:w="11906" w:h="16838"/>
          <w:pgMar w:top="1440" w:right="1800" w:bottom="1440" w:left="1800" w:header="851" w:footer="992" w:gutter="0"/>
          <w:pgNumType w:fmt="numberInDash" w:start="1"/>
          <w:cols w:space="425" w:num="1"/>
          <w:docGrid w:type="lines" w:linePitch="312" w:charSpace="0"/>
        </w:sectPr>
      </w:pPr>
    </w:p>
    <w:p w14:paraId="1B61697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b/>
          <w:bCs/>
          <w:sz w:val="28"/>
          <w:szCs w:val="28"/>
        </w:rPr>
      </w:pPr>
      <w:r>
        <w:rPr>
          <w:rFonts w:hint="eastAsia" w:ascii="黑体" w:hAnsi="黑体" w:eastAsia="黑体" w:cs="黑体"/>
          <w:b/>
          <w:bCs/>
          <w:sz w:val="28"/>
          <w:szCs w:val="28"/>
        </w:rPr>
        <w:t>目</w:t>
      </w:r>
      <w:r>
        <w:rPr>
          <w:rFonts w:hint="eastAsia" w:ascii="黑体" w:hAnsi="黑体" w:eastAsia="黑体" w:cs="黑体"/>
          <w:b/>
          <w:bCs/>
          <w:sz w:val="28"/>
          <w:szCs w:val="28"/>
          <w:lang w:val="en-US" w:eastAsia="zh-CN"/>
        </w:rPr>
        <w:t xml:space="preserve">  </w:t>
      </w:r>
      <w:r>
        <w:rPr>
          <w:rFonts w:hint="eastAsia" w:ascii="黑体" w:hAnsi="黑体" w:eastAsia="黑体" w:cs="黑体"/>
          <w:b/>
          <w:bCs/>
          <w:sz w:val="28"/>
          <w:szCs w:val="28"/>
        </w:rPr>
        <w:t>录</w:t>
      </w:r>
    </w:p>
    <w:sdt>
      <w:sdtPr>
        <w:rPr>
          <w:rFonts w:ascii="宋体" w:hAnsi="宋体" w:eastAsia="宋体" w:cstheme="minorBidi"/>
          <w:kern w:val="2"/>
          <w:sz w:val="21"/>
          <w:szCs w:val="24"/>
          <w:lang w:val="en-US" w:eastAsia="zh-CN" w:bidi="ar-SA"/>
        </w:rPr>
        <w:id w:val="147464908"/>
        <w15:color w:val="DBDBDB"/>
        <w:docPartObj>
          <w:docPartGallery w:val="Table of Contents"/>
          <w:docPartUnique/>
        </w:docPartObj>
      </w:sdtPr>
      <w:sdtEndPr>
        <w:rPr>
          <w:rFonts w:hint="eastAsia" w:ascii="方正黑体_GBK" w:hAnsi="方正黑体_GBK" w:eastAsia="方正黑体_GBK" w:cs="方正黑体_GBK"/>
          <w:kern w:val="2"/>
          <w:sz w:val="21"/>
          <w:szCs w:val="32"/>
          <w:lang w:val="en-US" w:eastAsia="zh-CN" w:bidi="ar-SA"/>
        </w:rPr>
      </w:sdtEndPr>
      <w:sdtContent>
        <w:p w14:paraId="4D9503DE">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left="0" w:leftChars="0" w:right="0" w:rightChars="0" w:firstLine="0" w:firstLineChars="0"/>
            <w:jc w:val="center"/>
            <w:textAlignment w:val="auto"/>
          </w:pPr>
        </w:p>
        <w:p w14:paraId="356C258F">
          <w:pPr>
            <w:pStyle w:val="9"/>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 w:val="21"/>
              <w:szCs w:val="32"/>
              <w:lang w:val="en-US" w:eastAsia="zh-CN" w:bidi="ar-SA"/>
            </w:rPr>
            <w:fldChar w:fldCharType="begin"/>
          </w:r>
          <w:r>
            <w:rPr>
              <w:rFonts w:hint="eastAsia" w:ascii="方正黑体_GBK" w:hAnsi="方正黑体_GBK" w:eastAsia="方正黑体_GBK" w:cs="方正黑体_GBK"/>
              <w:kern w:val="2"/>
              <w:sz w:val="21"/>
              <w:szCs w:val="32"/>
              <w:lang w:val="en-US" w:eastAsia="zh-CN" w:bidi="ar-SA"/>
            </w:rPr>
            <w:instrText xml:space="preserve">TOC \o "1-3" \h \u </w:instrText>
          </w:r>
          <w:r>
            <w:rPr>
              <w:rFonts w:hint="eastAsia" w:ascii="方正黑体_GBK" w:hAnsi="方正黑体_GBK" w:eastAsia="方正黑体_GBK" w:cs="方正黑体_GBK"/>
              <w:kern w:val="2"/>
              <w:sz w:val="21"/>
              <w:szCs w:val="32"/>
              <w:lang w:val="en-US" w:eastAsia="zh-CN" w:bidi="ar-SA"/>
            </w:rPr>
            <w:fldChar w:fldCharType="separate"/>
          </w: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_Toc12550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仿宋_GBK" w:hAnsi="方正仿宋_GBK" w:eastAsia="方正仿宋_GBK" w:cs="方正仿宋_GBK"/>
              <w:kern w:val="2"/>
              <w:szCs w:val="28"/>
              <w:lang w:val="en-US" w:eastAsia="zh-CN" w:bidi="ar-SA"/>
            </w:rPr>
            <w:t>内容真实性责任声明</w:t>
          </w:r>
          <w:r>
            <w:tab/>
          </w:r>
          <w:r>
            <w:fldChar w:fldCharType="begin"/>
          </w:r>
          <w:r>
            <w:instrText xml:space="preserve"> PAGEREF _Toc12550 \h </w:instrText>
          </w:r>
          <w:r>
            <w:fldChar w:fldCharType="separate"/>
          </w:r>
          <w:r>
            <w:t>- 4 -</w:t>
          </w:r>
          <w:r>
            <w:fldChar w:fldCharType="end"/>
          </w:r>
          <w:r>
            <w:rPr>
              <w:rFonts w:hint="eastAsia" w:ascii="方正黑体_GBK" w:hAnsi="方正黑体_GBK" w:eastAsia="方正黑体_GBK" w:cs="方正黑体_GBK"/>
              <w:kern w:val="2"/>
              <w:szCs w:val="32"/>
              <w:lang w:val="en-US" w:eastAsia="zh-CN" w:bidi="ar-SA"/>
            </w:rPr>
            <w:fldChar w:fldCharType="end"/>
          </w:r>
        </w:p>
        <w:p w14:paraId="10D2CB18">
          <w:pPr>
            <w:pStyle w:val="9"/>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_Toc81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黑体_GBK" w:hAnsi="方正黑体_GBK" w:eastAsia="方正黑体_GBK" w:cs="方正黑体_GBK"/>
              <w:szCs w:val="32"/>
            </w:rPr>
            <w:t>前言</w:t>
          </w:r>
          <w:r>
            <w:tab/>
          </w:r>
          <w:r>
            <w:fldChar w:fldCharType="begin"/>
          </w:r>
          <w:r>
            <w:instrText xml:space="preserve"> PAGEREF _Toc81 \h </w:instrText>
          </w:r>
          <w:r>
            <w:fldChar w:fldCharType="separate"/>
          </w:r>
          <w:r>
            <w:t>- 5 -</w:t>
          </w:r>
          <w:r>
            <w:fldChar w:fldCharType="end"/>
          </w:r>
          <w:r>
            <w:rPr>
              <w:rFonts w:hint="eastAsia" w:ascii="方正黑体_GBK" w:hAnsi="方正黑体_GBK" w:eastAsia="方正黑体_GBK" w:cs="方正黑体_GBK"/>
              <w:kern w:val="2"/>
              <w:szCs w:val="32"/>
              <w:lang w:val="en-US" w:eastAsia="zh-CN" w:bidi="ar-SA"/>
            </w:rPr>
            <w:fldChar w:fldCharType="end"/>
          </w:r>
        </w:p>
        <w:p w14:paraId="79BAAACA">
          <w:pPr>
            <w:pStyle w:val="9"/>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_Toc24877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黑体_GBK" w:hAnsi="方正黑体_GBK" w:eastAsia="方正黑体_GBK" w:cs="方正黑体_GBK"/>
              <w:szCs w:val="32"/>
            </w:rPr>
            <w:t>一、基本情况</w:t>
          </w:r>
          <w:r>
            <w:tab/>
          </w:r>
          <w:r>
            <w:fldChar w:fldCharType="begin"/>
          </w:r>
          <w:r>
            <w:instrText xml:space="preserve"> PAGEREF _Toc24877 \h </w:instrText>
          </w:r>
          <w:r>
            <w:fldChar w:fldCharType="separate"/>
          </w:r>
          <w:r>
            <w:t>- 5 -</w:t>
          </w:r>
          <w:r>
            <w:fldChar w:fldCharType="end"/>
          </w:r>
          <w:r>
            <w:rPr>
              <w:rFonts w:hint="eastAsia" w:ascii="方正黑体_GBK" w:hAnsi="方正黑体_GBK" w:eastAsia="方正黑体_GBK" w:cs="方正黑体_GBK"/>
              <w:kern w:val="2"/>
              <w:szCs w:val="32"/>
              <w:lang w:val="en-US" w:eastAsia="zh-CN" w:bidi="ar-SA"/>
            </w:rPr>
            <w:fldChar w:fldCharType="end"/>
          </w:r>
        </w:p>
        <w:p w14:paraId="3234D874">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_Toc22994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楷体_GBK" w:hAnsi="方正楷体_GBK" w:eastAsia="方正楷体_GBK" w:cs="方正楷体_GBK"/>
              <w:szCs w:val="28"/>
            </w:rPr>
            <w:t>1.1学校概况</w:t>
          </w:r>
          <w:r>
            <w:tab/>
          </w:r>
          <w:r>
            <w:fldChar w:fldCharType="begin"/>
          </w:r>
          <w:r>
            <w:instrText xml:space="preserve"> PAGEREF _Toc22994 \h </w:instrText>
          </w:r>
          <w:r>
            <w:fldChar w:fldCharType="separate"/>
          </w:r>
          <w:r>
            <w:t>- 6 -</w:t>
          </w:r>
          <w:r>
            <w:fldChar w:fldCharType="end"/>
          </w:r>
          <w:r>
            <w:rPr>
              <w:rFonts w:hint="eastAsia" w:ascii="方正黑体_GBK" w:hAnsi="方正黑体_GBK" w:eastAsia="方正黑体_GBK" w:cs="方正黑体_GBK"/>
              <w:kern w:val="2"/>
              <w:szCs w:val="32"/>
              <w:lang w:val="en-US" w:eastAsia="zh-CN" w:bidi="ar-SA"/>
            </w:rPr>
            <w:fldChar w:fldCharType="end"/>
          </w:r>
        </w:p>
        <w:p w14:paraId="7EC4D5CA">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_Toc9154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楷体_GBK" w:hAnsi="方正楷体_GBK" w:eastAsia="方正楷体_GBK" w:cs="方正楷体_GBK"/>
              <w:szCs w:val="28"/>
            </w:rPr>
            <w:t>1.2办学规模</w:t>
          </w:r>
          <w:r>
            <w:tab/>
          </w:r>
          <w:r>
            <w:fldChar w:fldCharType="begin"/>
          </w:r>
          <w:r>
            <w:instrText xml:space="preserve"> PAGEREF _Toc9154 \h </w:instrText>
          </w:r>
          <w:r>
            <w:fldChar w:fldCharType="separate"/>
          </w:r>
          <w:r>
            <w:t>- 7 -</w:t>
          </w:r>
          <w:r>
            <w:fldChar w:fldCharType="end"/>
          </w:r>
          <w:r>
            <w:rPr>
              <w:rFonts w:hint="eastAsia" w:ascii="方正黑体_GBK" w:hAnsi="方正黑体_GBK" w:eastAsia="方正黑体_GBK" w:cs="方正黑体_GBK"/>
              <w:kern w:val="2"/>
              <w:szCs w:val="32"/>
              <w:lang w:val="en-US" w:eastAsia="zh-CN" w:bidi="ar-SA"/>
            </w:rPr>
            <w:fldChar w:fldCharType="end"/>
          </w:r>
        </w:p>
        <w:p w14:paraId="5C5101B4">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_Toc2245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楷体_GBK" w:hAnsi="方正楷体_GBK" w:eastAsia="方正楷体_GBK" w:cs="方正楷体_GBK"/>
              <w:szCs w:val="28"/>
            </w:rPr>
            <w:t>1.3专业设置</w:t>
          </w:r>
          <w:r>
            <w:tab/>
          </w:r>
          <w:r>
            <w:fldChar w:fldCharType="begin"/>
          </w:r>
          <w:r>
            <w:instrText xml:space="preserve"> PAGEREF _Toc2245 \h </w:instrText>
          </w:r>
          <w:r>
            <w:fldChar w:fldCharType="separate"/>
          </w:r>
          <w:r>
            <w:t>- 8 -</w:t>
          </w:r>
          <w:r>
            <w:fldChar w:fldCharType="end"/>
          </w:r>
          <w:r>
            <w:rPr>
              <w:rFonts w:hint="eastAsia" w:ascii="方正黑体_GBK" w:hAnsi="方正黑体_GBK" w:eastAsia="方正黑体_GBK" w:cs="方正黑体_GBK"/>
              <w:kern w:val="2"/>
              <w:szCs w:val="32"/>
              <w:lang w:val="en-US" w:eastAsia="zh-CN" w:bidi="ar-SA"/>
            </w:rPr>
            <w:fldChar w:fldCharType="end"/>
          </w:r>
        </w:p>
        <w:p w14:paraId="767678BB">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_Toc10972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楷体_GBK" w:hAnsi="方正楷体_GBK" w:eastAsia="方正楷体_GBK" w:cs="方正楷体_GBK"/>
              <w:szCs w:val="28"/>
            </w:rPr>
            <w:t>1.4师资队伍</w:t>
          </w:r>
          <w:r>
            <w:tab/>
          </w:r>
          <w:r>
            <w:fldChar w:fldCharType="begin"/>
          </w:r>
          <w:r>
            <w:instrText xml:space="preserve"> PAGEREF _Toc10972 \h </w:instrText>
          </w:r>
          <w:r>
            <w:fldChar w:fldCharType="separate"/>
          </w:r>
          <w:r>
            <w:t>- 8 -</w:t>
          </w:r>
          <w:r>
            <w:fldChar w:fldCharType="end"/>
          </w:r>
          <w:r>
            <w:rPr>
              <w:rFonts w:hint="eastAsia" w:ascii="方正黑体_GBK" w:hAnsi="方正黑体_GBK" w:eastAsia="方正黑体_GBK" w:cs="方正黑体_GBK"/>
              <w:kern w:val="2"/>
              <w:szCs w:val="32"/>
              <w:lang w:val="en-US" w:eastAsia="zh-CN" w:bidi="ar-SA"/>
            </w:rPr>
            <w:fldChar w:fldCharType="end"/>
          </w:r>
        </w:p>
        <w:p w14:paraId="61FB6220">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_Toc4277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楷体_GBK" w:hAnsi="方正楷体_GBK" w:eastAsia="方正楷体_GBK" w:cs="方正楷体_GBK"/>
              <w:szCs w:val="28"/>
            </w:rPr>
            <w:t>1.5办学条件</w:t>
          </w:r>
          <w:r>
            <w:tab/>
          </w:r>
          <w:r>
            <w:fldChar w:fldCharType="begin"/>
          </w:r>
          <w:r>
            <w:instrText xml:space="preserve"> PAGEREF _Toc4277 \h </w:instrText>
          </w:r>
          <w:r>
            <w:fldChar w:fldCharType="separate"/>
          </w:r>
          <w:r>
            <w:t>- 9 -</w:t>
          </w:r>
          <w:r>
            <w:fldChar w:fldCharType="end"/>
          </w:r>
          <w:r>
            <w:rPr>
              <w:rFonts w:hint="eastAsia" w:ascii="方正黑体_GBK" w:hAnsi="方正黑体_GBK" w:eastAsia="方正黑体_GBK" w:cs="方正黑体_GBK"/>
              <w:kern w:val="2"/>
              <w:szCs w:val="32"/>
              <w:lang w:val="en-US" w:eastAsia="zh-CN" w:bidi="ar-SA"/>
            </w:rPr>
            <w:fldChar w:fldCharType="end"/>
          </w:r>
        </w:p>
        <w:p w14:paraId="2A098A93">
          <w:pPr>
            <w:pStyle w:val="9"/>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_Toc24062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黑体_GBK" w:hAnsi="方正黑体_GBK" w:eastAsia="方正黑体_GBK" w:cs="方正黑体_GBK"/>
              <w:szCs w:val="28"/>
            </w:rPr>
            <w:t>二、人才培养</w:t>
          </w:r>
          <w:r>
            <w:tab/>
          </w:r>
          <w:r>
            <w:fldChar w:fldCharType="begin"/>
          </w:r>
          <w:r>
            <w:instrText xml:space="preserve"> PAGEREF _Toc24062 \h </w:instrText>
          </w:r>
          <w:r>
            <w:fldChar w:fldCharType="separate"/>
          </w:r>
          <w:r>
            <w:t>- 9 -</w:t>
          </w:r>
          <w:r>
            <w:fldChar w:fldCharType="end"/>
          </w:r>
          <w:r>
            <w:rPr>
              <w:rFonts w:hint="eastAsia" w:ascii="方正黑体_GBK" w:hAnsi="方正黑体_GBK" w:eastAsia="方正黑体_GBK" w:cs="方正黑体_GBK"/>
              <w:kern w:val="2"/>
              <w:szCs w:val="32"/>
              <w:lang w:val="en-US" w:eastAsia="zh-CN" w:bidi="ar-SA"/>
            </w:rPr>
            <w:fldChar w:fldCharType="end"/>
          </w:r>
        </w:p>
        <w:p w14:paraId="5483956E">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_Toc4121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楷体_GBK" w:hAnsi="方正楷体_GBK" w:eastAsia="方正楷体_GBK" w:cs="方正楷体_GBK"/>
              <w:szCs w:val="28"/>
            </w:rPr>
            <w:t>2.1立德树人</w:t>
          </w:r>
          <w:r>
            <w:tab/>
          </w:r>
          <w:r>
            <w:fldChar w:fldCharType="begin"/>
          </w:r>
          <w:r>
            <w:instrText xml:space="preserve"> PAGEREF _Toc4121 \h </w:instrText>
          </w:r>
          <w:r>
            <w:fldChar w:fldCharType="separate"/>
          </w:r>
          <w:r>
            <w:t>- 10 -</w:t>
          </w:r>
          <w:r>
            <w:fldChar w:fldCharType="end"/>
          </w:r>
          <w:r>
            <w:rPr>
              <w:rFonts w:hint="eastAsia" w:ascii="方正黑体_GBK" w:hAnsi="方正黑体_GBK" w:eastAsia="方正黑体_GBK" w:cs="方正黑体_GBK"/>
              <w:kern w:val="2"/>
              <w:szCs w:val="32"/>
              <w:lang w:val="en-US" w:eastAsia="zh-CN" w:bidi="ar-SA"/>
            </w:rPr>
            <w:fldChar w:fldCharType="end"/>
          </w:r>
        </w:p>
        <w:p w14:paraId="23E14BBF">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_Toc27058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楷体_GBK" w:hAnsi="方正楷体_GBK" w:eastAsia="方正楷体_GBK" w:cs="方正楷体_GBK"/>
              <w:szCs w:val="28"/>
            </w:rPr>
            <w:t>2.2多样成才</w:t>
          </w:r>
          <w:r>
            <w:tab/>
          </w:r>
          <w:r>
            <w:fldChar w:fldCharType="begin"/>
          </w:r>
          <w:r>
            <w:instrText xml:space="preserve"> PAGEREF _Toc27058 \h </w:instrText>
          </w:r>
          <w:r>
            <w:fldChar w:fldCharType="separate"/>
          </w:r>
          <w:r>
            <w:t>- 11 -</w:t>
          </w:r>
          <w:r>
            <w:fldChar w:fldCharType="end"/>
          </w:r>
          <w:r>
            <w:rPr>
              <w:rFonts w:hint="eastAsia" w:ascii="方正黑体_GBK" w:hAnsi="方正黑体_GBK" w:eastAsia="方正黑体_GBK" w:cs="方正黑体_GBK"/>
              <w:kern w:val="2"/>
              <w:szCs w:val="32"/>
              <w:lang w:val="en-US" w:eastAsia="zh-CN" w:bidi="ar-SA"/>
            </w:rPr>
            <w:fldChar w:fldCharType="end"/>
          </w:r>
        </w:p>
        <w:p w14:paraId="7F447D20">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_Toc6823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楷体_GBK" w:hAnsi="方正楷体_GBK" w:eastAsia="方正楷体_GBK" w:cs="方正楷体_GBK"/>
              <w:szCs w:val="28"/>
            </w:rPr>
            <w:t>2.3教学改革</w:t>
          </w:r>
          <w:r>
            <w:tab/>
          </w:r>
          <w:r>
            <w:fldChar w:fldCharType="begin"/>
          </w:r>
          <w:r>
            <w:instrText xml:space="preserve"> PAGEREF _Toc6823 \h </w:instrText>
          </w:r>
          <w:r>
            <w:fldChar w:fldCharType="separate"/>
          </w:r>
          <w:r>
            <w:t>- 13 -</w:t>
          </w:r>
          <w:r>
            <w:fldChar w:fldCharType="end"/>
          </w:r>
          <w:r>
            <w:rPr>
              <w:rFonts w:hint="eastAsia" w:ascii="方正黑体_GBK" w:hAnsi="方正黑体_GBK" w:eastAsia="方正黑体_GBK" w:cs="方正黑体_GBK"/>
              <w:kern w:val="2"/>
              <w:szCs w:val="32"/>
              <w:lang w:val="en-US" w:eastAsia="zh-CN" w:bidi="ar-SA"/>
            </w:rPr>
            <w:fldChar w:fldCharType="end"/>
          </w:r>
        </w:p>
        <w:p w14:paraId="6513C476">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_Toc29630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楷体_GBK" w:hAnsi="方正楷体_GBK" w:eastAsia="方正楷体_GBK" w:cs="方正楷体_GBK"/>
              <w:szCs w:val="28"/>
            </w:rPr>
            <w:t>2.4技能成长</w:t>
          </w:r>
          <w:r>
            <w:tab/>
          </w:r>
          <w:r>
            <w:fldChar w:fldCharType="begin"/>
          </w:r>
          <w:r>
            <w:instrText xml:space="preserve"> PAGEREF _Toc29630 \h </w:instrText>
          </w:r>
          <w:r>
            <w:fldChar w:fldCharType="separate"/>
          </w:r>
          <w:r>
            <w:t>- 13 -</w:t>
          </w:r>
          <w:r>
            <w:fldChar w:fldCharType="end"/>
          </w:r>
          <w:r>
            <w:rPr>
              <w:rFonts w:hint="eastAsia" w:ascii="方正黑体_GBK" w:hAnsi="方正黑体_GBK" w:eastAsia="方正黑体_GBK" w:cs="方正黑体_GBK"/>
              <w:kern w:val="2"/>
              <w:szCs w:val="32"/>
              <w:lang w:val="en-US" w:eastAsia="zh-CN" w:bidi="ar-SA"/>
            </w:rPr>
            <w:fldChar w:fldCharType="end"/>
          </w:r>
        </w:p>
        <w:p w14:paraId="527ABAC6">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_Toc14677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楷体_GBK" w:hAnsi="方正楷体_GBK" w:eastAsia="方正楷体_GBK" w:cs="方正楷体_GBK"/>
              <w:szCs w:val="28"/>
            </w:rPr>
            <w:t>2.5职业发展</w:t>
          </w:r>
          <w:r>
            <w:tab/>
          </w:r>
          <w:r>
            <w:fldChar w:fldCharType="begin"/>
          </w:r>
          <w:r>
            <w:instrText xml:space="preserve"> PAGEREF _Toc14677 \h </w:instrText>
          </w:r>
          <w:r>
            <w:fldChar w:fldCharType="separate"/>
          </w:r>
          <w:r>
            <w:t>- 15 -</w:t>
          </w:r>
          <w:r>
            <w:fldChar w:fldCharType="end"/>
          </w:r>
          <w:r>
            <w:rPr>
              <w:rFonts w:hint="eastAsia" w:ascii="方正黑体_GBK" w:hAnsi="方正黑体_GBK" w:eastAsia="方正黑体_GBK" w:cs="方正黑体_GBK"/>
              <w:kern w:val="2"/>
              <w:szCs w:val="32"/>
              <w:lang w:val="en-US" w:eastAsia="zh-CN" w:bidi="ar-SA"/>
            </w:rPr>
            <w:fldChar w:fldCharType="end"/>
          </w:r>
        </w:p>
        <w:p w14:paraId="1AE6C307">
          <w:pPr>
            <w:pStyle w:val="9"/>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_Toc26683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黑体_GBK" w:hAnsi="方正黑体_GBK" w:eastAsia="方正黑体_GBK" w:cs="方正黑体_GBK"/>
              <w:szCs w:val="32"/>
            </w:rPr>
            <w:t>三、服务贡献</w:t>
          </w:r>
          <w:r>
            <w:tab/>
          </w:r>
          <w:r>
            <w:fldChar w:fldCharType="begin"/>
          </w:r>
          <w:r>
            <w:instrText xml:space="preserve"> PAGEREF _Toc26683 \h </w:instrText>
          </w:r>
          <w:r>
            <w:fldChar w:fldCharType="separate"/>
          </w:r>
          <w:r>
            <w:t>- 16 -</w:t>
          </w:r>
          <w:r>
            <w:fldChar w:fldCharType="end"/>
          </w:r>
          <w:r>
            <w:rPr>
              <w:rFonts w:hint="eastAsia" w:ascii="方正黑体_GBK" w:hAnsi="方正黑体_GBK" w:eastAsia="方正黑体_GBK" w:cs="方正黑体_GBK"/>
              <w:kern w:val="2"/>
              <w:szCs w:val="32"/>
              <w:lang w:val="en-US" w:eastAsia="zh-CN" w:bidi="ar-SA"/>
            </w:rPr>
            <w:fldChar w:fldCharType="end"/>
          </w:r>
        </w:p>
        <w:p w14:paraId="040C94F4">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_Toc9742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楷体_GBK" w:hAnsi="方正楷体_GBK" w:eastAsia="方正楷体_GBK" w:cs="方正楷体_GBK"/>
              <w:szCs w:val="28"/>
            </w:rPr>
            <w:t>3.1服务国家重大战略</w:t>
          </w:r>
          <w:r>
            <w:tab/>
          </w:r>
          <w:r>
            <w:fldChar w:fldCharType="begin"/>
          </w:r>
          <w:r>
            <w:instrText xml:space="preserve"> PAGEREF _Toc9742 \h </w:instrText>
          </w:r>
          <w:r>
            <w:fldChar w:fldCharType="separate"/>
          </w:r>
          <w:r>
            <w:t>- 16 -</w:t>
          </w:r>
          <w:r>
            <w:fldChar w:fldCharType="end"/>
          </w:r>
          <w:r>
            <w:rPr>
              <w:rFonts w:hint="eastAsia" w:ascii="方正黑体_GBK" w:hAnsi="方正黑体_GBK" w:eastAsia="方正黑体_GBK" w:cs="方正黑体_GBK"/>
              <w:kern w:val="2"/>
              <w:szCs w:val="32"/>
              <w:lang w:val="en-US" w:eastAsia="zh-CN" w:bidi="ar-SA"/>
            </w:rPr>
            <w:fldChar w:fldCharType="end"/>
          </w:r>
        </w:p>
        <w:p w14:paraId="3F622987">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_Toc1456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楷体_GBK" w:hAnsi="方正楷体_GBK" w:eastAsia="方正楷体_GBK" w:cs="方正楷体_GBK"/>
              <w:szCs w:val="28"/>
            </w:rPr>
            <w:t>3.2服务区域特色发展</w:t>
          </w:r>
          <w:r>
            <w:tab/>
          </w:r>
          <w:r>
            <w:fldChar w:fldCharType="begin"/>
          </w:r>
          <w:r>
            <w:instrText xml:space="preserve"> PAGEREF _Toc1456 \h </w:instrText>
          </w:r>
          <w:r>
            <w:fldChar w:fldCharType="separate"/>
          </w:r>
          <w:r>
            <w:t>- 16 -</w:t>
          </w:r>
          <w:r>
            <w:fldChar w:fldCharType="end"/>
          </w:r>
          <w:r>
            <w:rPr>
              <w:rFonts w:hint="eastAsia" w:ascii="方正黑体_GBK" w:hAnsi="方正黑体_GBK" w:eastAsia="方正黑体_GBK" w:cs="方正黑体_GBK"/>
              <w:kern w:val="2"/>
              <w:szCs w:val="32"/>
              <w:lang w:val="en-US" w:eastAsia="zh-CN" w:bidi="ar-SA"/>
            </w:rPr>
            <w:fldChar w:fldCharType="end"/>
          </w:r>
        </w:p>
        <w:p w14:paraId="495239BE">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_Toc19623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楷体_GBK" w:hAnsi="方正楷体_GBK" w:eastAsia="方正楷体_GBK" w:cs="方正楷体_GBK"/>
              <w:szCs w:val="28"/>
            </w:rPr>
            <w:t>3.3服务产业创新发展</w:t>
          </w:r>
          <w:r>
            <w:tab/>
          </w:r>
          <w:r>
            <w:fldChar w:fldCharType="begin"/>
          </w:r>
          <w:r>
            <w:instrText xml:space="preserve"> PAGEREF _Toc19623 \h </w:instrText>
          </w:r>
          <w:r>
            <w:fldChar w:fldCharType="separate"/>
          </w:r>
          <w:r>
            <w:t>- 16 -</w:t>
          </w:r>
          <w:r>
            <w:fldChar w:fldCharType="end"/>
          </w:r>
          <w:r>
            <w:rPr>
              <w:rFonts w:hint="eastAsia" w:ascii="方正黑体_GBK" w:hAnsi="方正黑体_GBK" w:eastAsia="方正黑体_GBK" w:cs="方正黑体_GBK"/>
              <w:kern w:val="2"/>
              <w:szCs w:val="32"/>
              <w:lang w:val="en-US" w:eastAsia="zh-CN" w:bidi="ar-SA"/>
            </w:rPr>
            <w:fldChar w:fldCharType="end"/>
          </w:r>
        </w:p>
        <w:p w14:paraId="47DB1BF1">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_Toc25898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楷体_GBK" w:hAnsi="方正楷体_GBK" w:eastAsia="方正楷体_GBK" w:cs="方正楷体_GBK"/>
              <w:szCs w:val="28"/>
            </w:rPr>
            <w:t>3.4服务重大民生急需</w:t>
          </w:r>
          <w:r>
            <w:tab/>
          </w:r>
          <w:r>
            <w:fldChar w:fldCharType="begin"/>
          </w:r>
          <w:r>
            <w:instrText xml:space="preserve"> PAGEREF _Toc25898 \h </w:instrText>
          </w:r>
          <w:r>
            <w:fldChar w:fldCharType="separate"/>
          </w:r>
          <w:r>
            <w:t>- 17 -</w:t>
          </w:r>
          <w:r>
            <w:fldChar w:fldCharType="end"/>
          </w:r>
          <w:r>
            <w:rPr>
              <w:rFonts w:hint="eastAsia" w:ascii="方正黑体_GBK" w:hAnsi="方正黑体_GBK" w:eastAsia="方正黑体_GBK" w:cs="方正黑体_GBK"/>
              <w:kern w:val="2"/>
              <w:szCs w:val="32"/>
              <w:lang w:val="en-US" w:eastAsia="zh-CN" w:bidi="ar-SA"/>
            </w:rPr>
            <w:fldChar w:fldCharType="end"/>
          </w:r>
        </w:p>
        <w:p w14:paraId="016949DC">
          <w:pPr>
            <w:pStyle w:val="9"/>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_Toc19825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黑体_GBK" w:hAnsi="方正黑体_GBK" w:eastAsia="方正黑体_GBK" w:cs="方正黑体_GBK"/>
              <w:szCs w:val="32"/>
            </w:rPr>
            <w:t>四、产教融合</w:t>
          </w:r>
          <w:r>
            <w:tab/>
          </w:r>
          <w:r>
            <w:fldChar w:fldCharType="begin"/>
          </w:r>
          <w:r>
            <w:instrText xml:space="preserve"> PAGEREF _Toc19825 \h </w:instrText>
          </w:r>
          <w:r>
            <w:fldChar w:fldCharType="separate"/>
          </w:r>
          <w:r>
            <w:t>- 17 -</w:t>
          </w:r>
          <w:r>
            <w:fldChar w:fldCharType="end"/>
          </w:r>
          <w:r>
            <w:rPr>
              <w:rFonts w:hint="eastAsia" w:ascii="方正黑体_GBK" w:hAnsi="方正黑体_GBK" w:eastAsia="方正黑体_GBK" w:cs="方正黑体_GBK"/>
              <w:kern w:val="2"/>
              <w:szCs w:val="32"/>
              <w:lang w:val="en-US" w:eastAsia="zh-CN" w:bidi="ar-SA"/>
            </w:rPr>
            <w:fldChar w:fldCharType="end"/>
          </w:r>
        </w:p>
        <w:p w14:paraId="1EEF6540">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_Toc18073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楷体_GBK" w:hAnsi="方正楷体_GBK" w:eastAsia="方正楷体_GBK" w:cs="方正楷体_GBK"/>
              <w:szCs w:val="28"/>
            </w:rPr>
            <w:t>4.1创新产教融合机制</w:t>
          </w:r>
          <w:r>
            <w:tab/>
          </w:r>
          <w:r>
            <w:fldChar w:fldCharType="begin"/>
          </w:r>
          <w:r>
            <w:instrText xml:space="preserve"> PAGEREF _Toc18073 \h </w:instrText>
          </w:r>
          <w:r>
            <w:fldChar w:fldCharType="separate"/>
          </w:r>
          <w:r>
            <w:t>- 18 -</w:t>
          </w:r>
          <w:r>
            <w:fldChar w:fldCharType="end"/>
          </w:r>
          <w:r>
            <w:rPr>
              <w:rFonts w:hint="eastAsia" w:ascii="方正黑体_GBK" w:hAnsi="方正黑体_GBK" w:eastAsia="方正黑体_GBK" w:cs="方正黑体_GBK"/>
              <w:kern w:val="2"/>
              <w:szCs w:val="32"/>
              <w:lang w:val="en-US" w:eastAsia="zh-CN" w:bidi="ar-SA"/>
            </w:rPr>
            <w:fldChar w:fldCharType="end"/>
          </w:r>
        </w:p>
        <w:p w14:paraId="4FE18A55">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_Toc10767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楷体_GBK" w:hAnsi="方正楷体_GBK" w:eastAsia="方正楷体_GBK" w:cs="方正楷体_GBK"/>
              <w:szCs w:val="28"/>
            </w:rPr>
            <w:t>4.2丰富产教融合载体</w:t>
          </w:r>
          <w:r>
            <w:tab/>
          </w:r>
          <w:r>
            <w:fldChar w:fldCharType="begin"/>
          </w:r>
          <w:r>
            <w:instrText xml:space="preserve"> PAGEREF _Toc10767 \h </w:instrText>
          </w:r>
          <w:r>
            <w:fldChar w:fldCharType="separate"/>
          </w:r>
          <w:r>
            <w:t>- 18 -</w:t>
          </w:r>
          <w:r>
            <w:fldChar w:fldCharType="end"/>
          </w:r>
          <w:r>
            <w:rPr>
              <w:rFonts w:hint="eastAsia" w:ascii="方正黑体_GBK" w:hAnsi="方正黑体_GBK" w:eastAsia="方正黑体_GBK" w:cs="方正黑体_GBK"/>
              <w:kern w:val="2"/>
              <w:szCs w:val="32"/>
              <w:lang w:val="en-US" w:eastAsia="zh-CN" w:bidi="ar-SA"/>
            </w:rPr>
            <w:fldChar w:fldCharType="end"/>
          </w:r>
        </w:p>
        <w:p w14:paraId="174099D1">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_Toc11540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楷体_GBK" w:hAnsi="方正楷体_GBK" w:eastAsia="方正楷体_GBK" w:cs="方正楷体_GBK"/>
              <w:szCs w:val="28"/>
            </w:rPr>
            <w:t>4.3提升产教融合质量</w:t>
          </w:r>
          <w:r>
            <w:tab/>
          </w:r>
          <w:r>
            <w:fldChar w:fldCharType="begin"/>
          </w:r>
          <w:r>
            <w:instrText xml:space="preserve"> PAGEREF _Toc11540 \h </w:instrText>
          </w:r>
          <w:r>
            <w:fldChar w:fldCharType="separate"/>
          </w:r>
          <w:r>
            <w:t>- 19 -</w:t>
          </w:r>
          <w:r>
            <w:fldChar w:fldCharType="end"/>
          </w:r>
          <w:r>
            <w:rPr>
              <w:rFonts w:hint="eastAsia" w:ascii="方正黑体_GBK" w:hAnsi="方正黑体_GBK" w:eastAsia="方正黑体_GBK" w:cs="方正黑体_GBK"/>
              <w:kern w:val="2"/>
              <w:szCs w:val="32"/>
              <w:lang w:val="en-US" w:eastAsia="zh-CN" w:bidi="ar-SA"/>
            </w:rPr>
            <w:fldChar w:fldCharType="end"/>
          </w:r>
        </w:p>
        <w:p w14:paraId="124A205D">
          <w:pPr>
            <w:pStyle w:val="9"/>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_Toc21459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黑体_GBK" w:hAnsi="方正黑体_GBK" w:eastAsia="方正黑体_GBK" w:cs="方正黑体_GBK"/>
              <w:szCs w:val="32"/>
            </w:rPr>
            <w:t>五、文化传承</w:t>
          </w:r>
          <w:r>
            <w:tab/>
          </w:r>
          <w:r>
            <w:fldChar w:fldCharType="begin"/>
          </w:r>
          <w:r>
            <w:instrText xml:space="preserve"> PAGEREF _Toc21459 \h </w:instrText>
          </w:r>
          <w:r>
            <w:fldChar w:fldCharType="separate"/>
          </w:r>
          <w:r>
            <w:t>- 19 -</w:t>
          </w:r>
          <w:r>
            <w:fldChar w:fldCharType="end"/>
          </w:r>
          <w:r>
            <w:rPr>
              <w:rFonts w:hint="eastAsia" w:ascii="方正黑体_GBK" w:hAnsi="方正黑体_GBK" w:eastAsia="方正黑体_GBK" w:cs="方正黑体_GBK"/>
              <w:kern w:val="2"/>
              <w:szCs w:val="32"/>
              <w:lang w:val="en-US" w:eastAsia="zh-CN" w:bidi="ar-SA"/>
            </w:rPr>
            <w:fldChar w:fldCharType="end"/>
          </w:r>
        </w:p>
        <w:p w14:paraId="0135F72F">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_Toc1570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楷体_GBK" w:hAnsi="方正楷体_GBK" w:eastAsia="方正楷体_GBK" w:cs="方正楷体_GBK"/>
              <w:szCs w:val="28"/>
            </w:rPr>
            <w:t>5.1传承优秀传统文化</w:t>
          </w:r>
          <w:r>
            <w:tab/>
          </w:r>
          <w:r>
            <w:fldChar w:fldCharType="begin"/>
          </w:r>
          <w:r>
            <w:instrText xml:space="preserve"> PAGEREF _Toc1570 \h </w:instrText>
          </w:r>
          <w:r>
            <w:fldChar w:fldCharType="separate"/>
          </w:r>
          <w:r>
            <w:t>- 19 -</w:t>
          </w:r>
          <w:r>
            <w:fldChar w:fldCharType="end"/>
          </w:r>
          <w:r>
            <w:rPr>
              <w:rFonts w:hint="eastAsia" w:ascii="方正黑体_GBK" w:hAnsi="方正黑体_GBK" w:eastAsia="方正黑体_GBK" w:cs="方正黑体_GBK"/>
              <w:kern w:val="2"/>
              <w:szCs w:val="32"/>
              <w:lang w:val="en-US" w:eastAsia="zh-CN" w:bidi="ar-SA"/>
            </w:rPr>
            <w:fldChar w:fldCharType="end"/>
          </w:r>
        </w:p>
        <w:p w14:paraId="5798D372">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_Toc8409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楷体_GBK" w:hAnsi="方正楷体_GBK" w:eastAsia="方正楷体_GBK" w:cs="方正楷体_GBK"/>
              <w:szCs w:val="28"/>
            </w:rPr>
            <w:t>5.2传承红色革命文化</w:t>
          </w:r>
          <w:r>
            <w:tab/>
          </w:r>
          <w:r>
            <w:fldChar w:fldCharType="begin"/>
          </w:r>
          <w:r>
            <w:instrText xml:space="preserve"> PAGEREF _Toc8409 \h </w:instrText>
          </w:r>
          <w:r>
            <w:fldChar w:fldCharType="separate"/>
          </w:r>
          <w:r>
            <w:t>- 21 -</w:t>
          </w:r>
          <w:r>
            <w:fldChar w:fldCharType="end"/>
          </w:r>
          <w:r>
            <w:rPr>
              <w:rFonts w:hint="eastAsia" w:ascii="方正黑体_GBK" w:hAnsi="方正黑体_GBK" w:eastAsia="方正黑体_GBK" w:cs="方正黑体_GBK"/>
              <w:kern w:val="2"/>
              <w:szCs w:val="32"/>
              <w:lang w:val="en-US" w:eastAsia="zh-CN" w:bidi="ar-SA"/>
            </w:rPr>
            <w:fldChar w:fldCharType="end"/>
          </w:r>
        </w:p>
        <w:p w14:paraId="08DDC0B9">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_Toc19609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楷体_GBK" w:hAnsi="方正楷体_GBK" w:eastAsia="方正楷体_GBK" w:cs="方正楷体_GBK"/>
              <w:szCs w:val="28"/>
            </w:rPr>
            <w:t>5.3传承大国工匠精神</w:t>
          </w:r>
          <w:r>
            <w:tab/>
          </w:r>
          <w:r>
            <w:fldChar w:fldCharType="begin"/>
          </w:r>
          <w:r>
            <w:instrText xml:space="preserve"> PAGEREF _Toc19609 \h </w:instrText>
          </w:r>
          <w:r>
            <w:fldChar w:fldCharType="separate"/>
          </w:r>
          <w:r>
            <w:t>- 22 -</w:t>
          </w:r>
          <w:r>
            <w:fldChar w:fldCharType="end"/>
          </w:r>
          <w:r>
            <w:rPr>
              <w:rFonts w:hint="eastAsia" w:ascii="方正黑体_GBK" w:hAnsi="方正黑体_GBK" w:eastAsia="方正黑体_GBK" w:cs="方正黑体_GBK"/>
              <w:kern w:val="2"/>
              <w:szCs w:val="32"/>
              <w:lang w:val="en-US" w:eastAsia="zh-CN" w:bidi="ar-SA"/>
            </w:rPr>
            <w:fldChar w:fldCharType="end"/>
          </w:r>
        </w:p>
        <w:p w14:paraId="0D290E91">
          <w:pPr>
            <w:pStyle w:val="9"/>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_Toc25935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黑体_GBK" w:hAnsi="方正黑体_GBK" w:eastAsia="方正黑体_GBK" w:cs="方正黑体_GBK"/>
              <w:szCs w:val="28"/>
            </w:rPr>
            <w:t>六、国际合作</w:t>
          </w:r>
          <w:r>
            <w:tab/>
          </w:r>
          <w:r>
            <w:fldChar w:fldCharType="begin"/>
          </w:r>
          <w:r>
            <w:instrText xml:space="preserve"> PAGEREF _Toc25935 \h </w:instrText>
          </w:r>
          <w:r>
            <w:fldChar w:fldCharType="separate"/>
          </w:r>
          <w:r>
            <w:t>- 22 -</w:t>
          </w:r>
          <w:r>
            <w:fldChar w:fldCharType="end"/>
          </w:r>
          <w:r>
            <w:rPr>
              <w:rFonts w:hint="eastAsia" w:ascii="方正黑体_GBK" w:hAnsi="方正黑体_GBK" w:eastAsia="方正黑体_GBK" w:cs="方正黑体_GBK"/>
              <w:kern w:val="2"/>
              <w:szCs w:val="32"/>
              <w:lang w:val="en-US" w:eastAsia="zh-CN" w:bidi="ar-SA"/>
            </w:rPr>
            <w:fldChar w:fldCharType="end"/>
          </w:r>
        </w:p>
        <w:p w14:paraId="59529DAC">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_Toc7996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楷体_GBK" w:hAnsi="方正楷体_GBK" w:eastAsia="方正楷体_GBK" w:cs="方正楷体_GBK"/>
              <w:szCs w:val="36"/>
              <w:lang w:val="en-US" w:eastAsia="zh-CN"/>
            </w:rPr>
            <w:t>6.1</w:t>
          </w:r>
          <w:r>
            <w:rPr>
              <w:rFonts w:hint="eastAsia" w:ascii="方正楷体_GBK" w:hAnsi="方正楷体_GBK" w:eastAsia="方正楷体_GBK" w:cs="方正楷体_GBK"/>
              <w:szCs w:val="36"/>
            </w:rPr>
            <w:t>探索起步：当前格局</w:t>
          </w:r>
          <w:r>
            <w:tab/>
          </w:r>
          <w:r>
            <w:fldChar w:fldCharType="begin"/>
          </w:r>
          <w:r>
            <w:instrText xml:space="preserve"> PAGEREF _Toc7996 \h </w:instrText>
          </w:r>
          <w:r>
            <w:fldChar w:fldCharType="separate"/>
          </w:r>
          <w:r>
            <w:t>- 22 -</w:t>
          </w:r>
          <w:r>
            <w:fldChar w:fldCharType="end"/>
          </w:r>
          <w:r>
            <w:rPr>
              <w:rFonts w:hint="eastAsia" w:ascii="方正黑体_GBK" w:hAnsi="方正黑体_GBK" w:eastAsia="方正黑体_GBK" w:cs="方正黑体_GBK"/>
              <w:kern w:val="2"/>
              <w:szCs w:val="32"/>
              <w:lang w:val="en-US" w:eastAsia="zh-CN" w:bidi="ar-SA"/>
            </w:rPr>
            <w:fldChar w:fldCharType="end"/>
          </w:r>
        </w:p>
        <w:p w14:paraId="1EABEA1D">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_Toc18873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楷体_GBK" w:hAnsi="方正楷体_GBK" w:eastAsia="方正楷体_GBK" w:cs="方正楷体_GBK"/>
              <w:szCs w:val="36"/>
              <w:lang w:val="en-US" w:eastAsia="zh-CN"/>
            </w:rPr>
            <w:t>6.2</w:t>
          </w:r>
          <w:r>
            <w:rPr>
              <w:rFonts w:hint="eastAsia" w:ascii="方正楷体_GBK" w:hAnsi="方正楷体_GBK" w:eastAsia="方正楷体_GBK" w:cs="方正楷体_GBK"/>
              <w:szCs w:val="36"/>
            </w:rPr>
            <w:t>丝路扬帆：发展愿景</w:t>
          </w:r>
          <w:r>
            <w:tab/>
          </w:r>
          <w:r>
            <w:fldChar w:fldCharType="begin"/>
          </w:r>
          <w:r>
            <w:instrText xml:space="preserve"> PAGEREF _Toc18873 \h </w:instrText>
          </w:r>
          <w:r>
            <w:fldChar w:fldCharType="separate"/>
          </w:r>
          <w:r>
            <w:t>- 22 -</w:t>
          </w:r>
          <w:r>
            <w:fldChar w:fldCharType="end"/>
          </w:r>
          <w:r>
            <w:rPr>
              <w:rFonts w:hint="eastAsia" w:ascii="方正黑体_GBK" w:hAnsi="方正黑体_GBK" w:eastAsia="方正黑体_GBK" w:cs="方正黑体_GBK"/>
              <w:kern w:val="2"/>
              <w:szCs w:val="32"/>
              <w:lang w:val="en-US" w:eastAsia="zh-CN" w:bidi="ar-SA"/>
            </w:rPr>
            <w:fldChar w:fldCharType="end"/>
          </w:r>
        </w:p>
        <w:p w14:paraId="3CFBED2C">
          <w:pPr>
            <w:pStyle w:val="9"/>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_Toc7979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黑体_GBK" w:hAnsi="方正黑体_GBK" w:eastAsia="方正黑体_GBK" w:cs="方正黑体_GBK"/>
              <w:szCs w:val="28"/>
            </w:rPr>
            <w:t>七、发展保障</w:t>
          </w:r>
          <w:r>
            <w:tab/>
          </w:r>
          <w:r>
            <w:fldChar w:fldCharType="begin"/>
          </w:r>
          <w:r>
            <w:instrText xml:space="preserve"> PAGEREF _Toc7979 \h </w:instrText>
          </w:r>
          <w:r>
            <w:fldChar w:fldCharType="separate"/>
          </w:r>
          <w:r>
            <w:t>- 23 -</w:t>
          </w:r>
          <w:r>
            <w:fldChar w:fldCharType="end"/>
          </w:r>
          <w:r>
            <w:rPr>
              <w:rFonts w:hint="eastAsia" w:ascii="方正黑体_GBK" w:hAnsi="方正黑体_GBK" w:eastAsia="方正黑体_GBK" w:cs="方正黑体_GBK"/>
              <w:kern w:val="2"/>
              <w:szCs w:val="32"/>
              <w:lang w:val="en-US" w:eastAsia="zh-CN" w:bidi="ar-SA"/>
            </w:rPr>
            <w:fldChar w:fldCharType="end"/>
          </w:r>
        </w:p>
        <w:p w14:paraId="5208DA0D">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_Toc10084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楷体_GBK" w:hAnsi="方正楷体_GBK" w:eastAsia="方正楷体_GBK" w:cs="方正楷体_GBK"/>
              <w:szCs w:val="28"/>
            </w:rPr>
            <w:t>7.1党建引领方向</w:t>
          </w:r>
          <w:r>
            <w:tab/>
          </w:r>
          <w:r>
            <w:fldChar w:fldCharType="begin"/>
          </w:r>
          <w:r>
            <w:instrText xml:space="preserve"> PAGEREF _Toc10084 \h </w:instrText>
          </w:r>
          <w:r>
            <w:fldChar w:fldCharType="separate"/>
          </w:r>
          <w:r>
            <w:t>- 23 -</w:t>
          </w:r>
          <w:r>
            <w:fldChar w:fldCharType="end"/>
          </w:r>
          <w:r>
            <w:rPr>
              <w:rFonts w:hint="eastAsia" w:ascii="方正黑体_GBK" w:hAnsi="方正黑体_GBK" w:eastAsia="方正黑体_GBK" w:cs="方正黑体_GBK"/>
              <w:kern w:val="2"/>
              <w:szCs w:val="32"/>
              <w:lang w:val="en-US" w:eastAsia="zh-CN" w:bidi="ar-SA"/>
            </w:rPr>
            <w:fldChar w:fldCharType="end"/>
          </w:r>
        </w:p>
        <w:p w14:paraId="3367268C">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_Toc2205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楷体_GBK" w:hAnsi="方正楷体_GBK" w:eastAsia="方正楷体_GBK" w:cs="方正楷体_GBK"/>
              <w:szCs w:val="28"/>
            </w:rPr>
            <w:t>7.2强化政策落实</w:t>
          </w:r>
          <w:r>
            <w:tab/>
          </w:r>
          <w:r>
            <w:fldChar w:fldCharType="begin"/>
          </w:r>
          <w:r>
            <w:instrText xml:space="preserve"> PAGEREF _Toc2205 \h </w:instrText>
          </w:r>
          <w:r>
            <w:fldChar w:fldCharType="separate"/>
          </w:r>
          <w:r>
            <w:t>- 24 -</w:t>
          </w:r>
          <w:r>
            <w:fldChar w:fldCharType="end"/>
          </w:r>
          <w:r>
            <w:rPr>
              <w:rFonts w:hint="eastAsia" w:ascii="方正黑体_GBK" w:hAnsi="方正黑体_GBK" w:eastAsia="方正黑体_GBK" w:cs="方正黑体_GBK"/>
              <w:kern w:val="2"/>
              <w:szCs w:val="32"/>
              <w:lang w:val="en-US" w:eastAsia="zh-CN" w:bidi="ar-SA"/>
            </w:rPr>
            <w:fldChar w:fldCharType="end"/>
          </w:r>
        </w:p>
        <w:p w14:paraId="4D763802">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_Toc27527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楷体_GBK" w:hAnsi="方正楷体_GBK" w:eastAsia="方正楷体_GBK" w:cs="方正楷体_GBK"/>
              <w:szCs w:val="28"/>
            </w:rPr>
            <w:t>7.3夯实经费支撑</w:t>
          </w:r>
          <w:r>
            <w:tab/>
          </w:r>
          <w:r>
            <w:fldChar w:fldCharType="begin"/>
          </w:r>
          <w:r>
            <w:instrText xml:space="preserve"> PAGEREF _Toc27527 \h </w:instrText>
          </w:r>
          <w:r>
            <w:fldChar w:fldCharType="separate"/>
          </w:r>
          <w:r>
            <w:t>- 24 -</w:t>
          </w:r>
          <w:r>
            <w:fldChar w:fldCharType="end"/>
          </w:r>
          <w:r>
            <w:rPr>
              <w:rFonts w:hint="eastAsia" w:ascii="方正黑体_GBK" w:hAnsi="方正黑体_GBK" w:eastAsia="方正黑体_GBK" w:cs="方正黑体_GBK"/>
              <w:kern w:val="2"/>
              <w:szCs w:val="32"/>
              <w:lang w:val="en-US" w:eastAsia="zh-CN" w:bidi="ar-SA"/>
            </w:rPr>
            <w:fldChar w:fldCharType="end"/>
          </w:r>
        </w:p>
        <w:p w14:paraId="1925F310">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_Toc28748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楷体_GBK" w:hAnsi="方正楷体_GBK" w:eastAsia="方正楷体_GBK" w:cs="方正楷体_GBK"/>
              <w:szCs w:val="28"/>
            </w:rPr>
            <w:t>7.4完善条件保障</w:t>
          </w:r>
          <w:r>
            <w:tab/>
          </w:r>
          <w:r>
            <w:fldChar w:fldCharType="begin"/>
          </w:r>
          <w:r>
            <w:instrText xml:space="preserve"> PAGEREF _Toc28748 \h </w:instrText>
          </w:r>
          <w:r>
            <w:fldChar w:fldCharType="separate"/>
          </w:r>
          <w:r>
            <w:t>- 24 -</w:t>
          </w:r>
          <w:r>
            <w:fldChar w:fldCharType="end"/>
          </w:r>
          <w:r>
            <w:rPr>
              <w:rFonts w:hint="eastAsia" w:ascii="方正黑体_GBK" w:hAnsi="方正黑体_GBK" w:eastAsia="方正黑体_GBK" w:cs="方正黑体_GBK"/>
              <w:kern w:val="2"/>
              <w:szCs w:val="32"/>
              <w:lang w:val="en-US" w:eastAsia="zh-CN" w:bidi="ar-SA"/>
            </w:rPr>
            <w:fldChar w:fldCharType="end"/>
          </w:r>
        </w:p>
        <w:p w14:paraId="2EE5B938">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_Toc20559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楷体_GBK" w:hAnsi="方正楷体_GBK" w:eastAsia="方正楷体_GBK" w:cs="方正楷体_GBK"/>
              <w:szCs w:val="28"/>
            </w:rPr>
            <w:t>7.5健全质量体系</w:t>
          </w:r>
          <w:r>
            <w:tab/>
          </w:r>
          <w:r>
            <w:fldChar w:fldCharType="begin"/>
          </w:r>
          <w:r>
            <w:instrText xml:space="preserve"> PAGEREF _Toc20559 \h </w:instrText>
          </w:r>
          <w:r>
            <w:fldChar w:fldCharType="separate"/>
          </w:r>
          <w:r>
            <w:t>- 25 -</w:t>
          </w:r>
          <w:r>
            <w:fldChar w:fldCharType="end"/>
          </w:r>
          <w:r>
            <w:rPr>
              <w:rFonts w:hint="eastAsia" w:ascii="方正黑体_GBK" w:hAnsi="方正黑体_GBK" w:eastAsia="方正黑体_GBK" w:cs="方正黑体_GBK"/>
              <w:kern w:val="2"/>
              <w:szCs w:val="32"/>
              <w:lang w:val="en-US" w:eastAsia="zh-CN" w:bidi="ar-SA"/>
            </w:rPr>
            <w:fldChar w:fldCharType="end"/>
          </w:r>
        </w:p>
        <w:p w14:paraId="0AC30FF1">
          <w:pPr>
            <w:pStyle w:val="9"/>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_Toc31059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黑体_GBK" w:hAnsi="方正黑体_GBK" w:eastAsia="方正黑体_GBK" w:cs="方正黑体_GBK"/>
              <w:szCs w:val="32"/>
            </w:rPr>
            <w:t>八、挑战与展望</w:t>
          </w:r>
          <w:r>
            <w:tab/>
          </w:r>
          <w:r>
            <w:fldChar w:fldCharType="begin"/>
          </w:r>
          <w:r>
            <w:instrText xml:space="preserve"> PAGEREF _Toc31059 \h </w:instrText>
          </w:r>
          <w:r>
            <w:fldChar w:fldCharType="separate"/>
          </w:r>
          <w:r>
            <w:t>- 27 -</w:t>
          </w:r>
          <w:r>
            <w:fldChar w:fldCharType="end"/>
          </w:r>
          <w:r>
            <w:rPr>
              <w:rFonts w:hint="eastAsia" w:ascii="方正黑体_GBK" w:hAnsi="方正黑体_GBK" w:eastAsia="方正黑体_GBK" w:cs="方正黑体_GBK"/>
              <w:kern w:val="2"/>
              <w:szCs w:val="32"/>
              <w:lang w:val="en-US" w:eastAsia="zh-CN" w:bidi="ar-SA"/>
            </w:rPr>
            <w:fldChar w:fldCharType="end"/>
          </w:r>
        </w:p>
        <w:p w14:paraId="3113411C">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_Toc25322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楷体_GBK" w:hAnsi="方正楷体_GBK" w:eastAsia="方正楷体_GBK" w:cs="方正楷体_GBK"/>
              <w:szCs w:val="28"/>
            </w:rPr>
            <w:t>8.1面临挑战</w:t>
          </w:r>
          <w:r>
            <w:tab/>
          </w:r>
          <w:r>
            <w:fldChar w:fldCharType="begin"/>
          </w:r>
          <w:r>
            <w:instrText xml:space="preserve"> PAGEREF _Toc25322 \h </w:instrText>
          </w:r>
          <w:r>
            <w:fldChar w:fldCharType="separate"/>
          </w:r>
          <w:r>
            <w:t>- 27 -</w:t>
          </w:r>
          <w:r>
            <w:fldChar w:fldCharType="end"/>
          </w:r>
          <w:r>
            <w:rPr>
              <w:rFonts w:hint="eastAsia" w:ascii="方正黑体_GBK" w:hAnsi="方正黑体_GBK" w:eastAsia="方正黑体_GBK" w:cs="方正黑体_GBK"/>
              <w:kern w:val="2"/>
              <w:szCs w:val="32"/>
              <w:lang w:val="en-US" w:eastAsia="zh-CN" w:bidi="ar-SA"/>
            </w:rPr>
            <w:fldChar w:fldCharType="end"/>
          </w:r>
        </w:p>
        <w:p w14:paraId="74EC047D">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_Toc20494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楷体_GBK" w:hAnsi="方正楷体_GBK" w:eastAsia="方正楷体_GBK" w:cs="方正楷体_GBK"/>
              <w:szCs w:val="28"/>
            </w:rPr>
            <w:t>8.2未来展望</w:t>
          </w:r>
          <w:r>
            <w:tab/>
          </w:r>
          <w:r>
            <w:fldChar w:fldCharType="begin"/>
          </w:r>
          <w:r>
            <w:instrText xml:space="preserve"> PAGEREF _Toc20494 \h </w:instrText>
          </w:r>
          <w:r>
            <w:fldChar w:fldCharType="separate"/>
          </w:r>
          <w:r>
            <w:t>- 27 -</w:t>
          </w:r>
          <w:r>
            <w:fldChar w:fldCharType="end"/>
          </w:r>
          <w:r>
            <w:rPr>
              <w:rFonts w:hint="eastAsia" w:ascii="方正黑体_GBK" w:hAnsi="方正黑体_GBK" w:eastAsia="方正黑体_GBK" w:cs="方正黑体_GBK"/>
              <w:kern w:val="2"/>
              <w:szCs w:val="32"/>
              <w:lang w:val="en-US" w:eastAsia="zh-CN" w:bidi="ar-SA"/>
            </w:rPr>
            <w:fldChar w:fldCharType="end"/>
          </w:r>
        </w:p>
        <w:p w14:paraId="586F733A">
          <w:pPr>
            <w:pStyle w:val="9"/>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rPr>
              <w:rFonts w:hint="eastAsia" w:ascii="方正黑体_GBK" w:hAnsi="方正黑体_GBK" w:eastAsia="方正黑体_GBK" w:cs="方正黑体_GBK"/>
              <w:kern w:val="2"/>
              <w:szCs w:val="32"/>
              <w:lang w:val="en-US" w:eastAsia="zh-CN" w:bidi="ar-SA"/>
            </w:rPr>
          </w:pPr>
          <w:r>
            <w:rPr>
              <w:rFonts w:hint="eastAsia" w:ascii="方正黑体_GBK" w:hAnsi="方正黑体_GBK" w:eastAsia="方正黑体_GBK" w:cs="方正黑体_GBK"/>
              <w:kern w:val="2"/>
              <w:szCs w:val="32"/>
              <w:lang w:val="en-US" w:eastAsia="zh-CN" w:bidi="ar-SA"/>
            </w:rPr>
            <w:t>案例目录</w:t>
          </w:r>
        </w:p>
        <w:p w14:paraId="2E6AF5E5">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_Toc10385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黑体_GBK" w:hAnsi="方正黑体_GBK" w:eastAsia="方正黑体_GBK" w:cs="方正黑体_GBK"/>
              <w:szCs w:val="28"/>
              <w:lang w:val="en-US" w:eastAsia="zh-CN"/>
            </w:rPr>
            <w:t>案例1：“思政+实践”双轮驱动筑牢德育根基</w:t>
          </w:r>
          <w:r>
            <w:tab/>
          </w:r>
          <w:r>
            <w:fldChar w:fldCharType="begin"/>
          </w:r>
          <w:r>
            <w:instrText xml:space="preserve"> PAGEREF _Toc10385 \h </w:instrText>
          </w:r>
          <w:r>
            <w:fldChar w:fldCharType="separate"/>
          </w:r>
          <w:r>
            <w:t>- 10 -</w:t>
          </w:r>
          <w:r>
            <w:fldChar w:fldCharType="end"/>
          </w:r>
          <w:r>
            <w:rPr>
              <w:rFonts w:hint="eastAsia" w:ascii="方正黑体_GBK" w:hAnsi="方正黑体_GBK" w:eastAsia="方正黑体_GBK" w:cs="方正黑体_GBK"/>
              <w:kern w:val="2"/>
              <w:szCs w:val="32"/>
              <w:lang w:val="en-US" w:eastAsia="zh-CN" w:bidi="ar-SA"/>
            </w:rPr>
            <w:fldChar w:fldCharType="end"/>
          </w:r>
        </w:p>
        <w:p w14:paraId="6C5C0731">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_Toc8155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黑体_GBK" w:hAnsi="方正黑体_GBK" w:eastAsia="方正黑体_GBK" w:cs="方正黑体_GBK"/>
              <w:szCs w:val="28"/>
              <w:lang w:val="en-US" w:eastAsia="zh-CN"/>
            </w:rPr>
            <w:t>案例2：多元升学通道助力学子圆梦高校</w:t>
          </w:r>
          <w:r>
            <w:tab/>
          </w:r>
          <w:r>
            <w:fldChar w:fldCharType="begin"/>
          </w:r>
          <w:r>
            <w:instrText xml:space="preserve"> PAGEREF _Toc8155 \h </w:instrText>
          </w:r>
          <w:r>
            <w:fldChar w:fldCharType="separate"/>
          </w:r>
          <w:r>
            <w:t>- 11 -</w:t>
          </w:r>
          <w:r>
            <w:fldChar w:fldCharType="end"/>
          </w:r>
          <w:r>
            <w:rPr>
              <w:rFonts w:hint="eastAsia" w:ascii="方正黑体_GBK" w:hAnsi="方正黑体_GBK" w:eastAsia="方正黑体_GBK" w:cs="方正黑体_GBK"/>
              <w:kern w:val="2"/>
              <w:szCs w:val="32"/>
              <w:lang w:val="en-US" w:eastAsia="zh-CN" w:bidi="ar-SA"/>
            </w:rPr>
            <w:fldChar w:fldCharType="end"/>
          </w:r>
        </w:p>
        <w:p w14:paraId="3FAC0AE9">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_Toc12481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黑体_GBK" w:hAnsi="方正黑体_GBK" w:eastAsia="方正黑体_GBK" w:cs="方正黑体_GBK"/>
              <w:szCs w:val="28"/>
              <w:lang w:val="en-US" w:eastAsia="zh-CN"/>
            </w:rPr>
            <w:t>案例3：技能竞赛赋能斩获国际赛事佳绩</w:t>
          </w:r>
          <w:r>
            <w:tab/>
          </w:r>
          <w:r>
            <w:fldChar w:fldCharType="begin"/>
          </w:r>
          <w:r>
            <w:instrText xml:space="preserve"> PAGEREF _Toc12481 \h </w:instrText>
          </w:r>
          <w:r>
            <w:fldChar w:fldCharType="separate"/>
          </w:r>
          <w:r>
            <w:t>- 14 -</w:t>
          </w:r>
          <w:r>
            <w:fldChar w:fldCharType="end"/>
          </w:r>
          <w:r>
            <w:rPr>
              <w:rFonts w:hint="eastAsia" w:ascii="方正黑体_GBK" w:hAnsi="方正黑体_GBK" w:eastAsia="方正黑体_GBK" w:cs="方正黑体_GBK"/>
              <w:kern w:val="2"/>
              <w:szCs w:val="32"/>
              <w:lang w:val="en-US" w:eastAsia="zh-CN" w:bidi="ar-SA"/>
            </w:rPr>
            <w:fldChar w:fldCharType="end"/>
          </w:r>
        </w:p>
        <w:p w14:paraId="43E734C4">
          <w:pPr>
            <w:pStyle w:val="9"/>
            <w:keepNext w:val="0"/>
            <w:keepLines w:val="0"/>
            <w:pageBreakBefore w:val="0"/>
            <w:widowControl w:val="0"/>
            <w:tabs>
              <w:tab w:val="right" w:leader="dot" w:pos="8306"/>
            </w:tabs>
            <w:kinsoku/>
            <w:wordWrap/>
            <w:overflowPunct/>
            <w:topLinePunct w:val="0"/>
            <w:autoSpaceDE/>
            <w:autoSpaceDN/>
            <w:bidi w:val="0"/>
            <w:adjustRightInd/>
            <w:snapToGrid/>
            <w:spacing w:line="520" w:lineRule="exact"/>
            <w:ind w:firstLine="420" w:firstLineChars="200"/>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_Toc19577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黑体_GBK" w:hAnsi="方正黑体_GBK" w:eastAsia="方正黑体_GBK" w:cs="方正黑体_GBK"/>
              <w:szCs w:val="28"/>
              <w:lang w:val="en-US" w:eastAsia="zh-CN"/>
            </w:rPr>
            <w:t>案例4：公益培训进社区服务民生显担当</w:t>
          </w:r>
          <w:r>
            <w:tab/>
          </w:r>
          <w:r>
            <w:fldChar w:fldCharType="begin"/>
          </w:r>
          <w:r>
            <w:instrText xml:space="preserve"> PAGEREF _Toc19577 \h </w:instrText>
          </w:r>
          <w:r>
            <w:fldChar w:fldCharType="separate"/>
          </w:r>
          <w:r>
            <w:t>- 17 -</w:t>
          </w:r>
          <w:r>
            <w:fldChar w:fldCharType="end"/>
          </w:r>
          <w:r>
            <w:rPr>
              <w:rFonts w:hint="eastAsia" w:ascii="方正黑体_GBK" w:hAnsi="方正黑体_GBK" w:eastAsia="方正黑体_GBK" w:cs="方正黑体_GBK"/>
              <w:kern w:val="2"/>
              <w:szCs w:val="32"/>
              <w:lang w:val="en-US" w:eastAsia="zh-CN" w:bidi="ar-SA"/>
            </w:rPr>
            <w:fldChar w:fldCharType="end"/>
          </w:r>
        </w:p>
        <w:p w14:paraId="52EAC966">
          <w:pPr>
            <w:pStyle w:val="6"/>
            <w:keepNext w:val="0"/>
            <w:keepLines w:val="0"/>
            <w:pageBreakBefore w:val="0"/>
            <w:widowControl w:val="0"/>
            <w:tabs>
              <w:tab w:val="right" w:leader="dot" w:pos="8306"/>
            </w:tabs>
            <w:kinsoku/>
            <w:wordWrap/>
            <w:overflowPunct/>
            <w:topLinePunct w:val="0"/>
            <w:autoSpaceDE/>
            <w:autoSpaceDN/>
            <w:bidi w:val="0"/>
            <w:adjustRightInd/>
            <w:snapToGrid/>
            <w:spacing w:line="520" w:lineRule="exact"/>
            <w:ind w:left="0" w:leftChars="0" w:firstLine="420" w:firstLineChars="200"/>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_Toc3794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黑体_GBK" w:hAnsi="方正黑体_GBK" w:eastAsia="方正黑体_GBK" w:cs="方正黑体_GBK"/>
              <w:szCs w:val="28"/>
              <w:lang w:val="en-US" w:eastAsia="zh-CN"/>
            </w:rPr>
            <w:t>案例5：校企深度协同共建电商实训高地</w:t>
          </w:r>
          <w:r>
            <w:tab/>
          </w:r>
          <w:r>
            <w:fldChar w:fldCharType="begin"/>
          </w:r>
          <w:r>
            <w:instrText xml:space="preserve"> PAGEREF _Toc3794 \h </w:instrText>
          </w:r>
          <w:r>
            <w:fldChar w:fldCharType="separate"/>
          </w:r>
          <w:r>
            <w:t>- 18 -</w:t>
          </w:r>
          <w:r>
            <w:fldChar w:fldCharType="end"/>
          </w:r>
          <w:r>
            <w:rPr>
              <w:rFonts w:hint="eastAsia" w:ascii="方正黑体_GBK" w:hAnsi="方正黑体_GBK" w:eastAsia="方正黑体_GBK" w:cs="方正黑体_GBK"/>
              <w:kern w:val="2"/>
              <w:szCs w:val="32"/>
              <w:lang w:val="en-US" w:eastAsia="zh-CN" w:bidi="ar-SA"/>
            </w:rPr>
            <w:fldChar w:fldCharType="end"/>
          </w:r>
        </w:p>
        <w:p w14:paraId="3CFD1CB6">
          <w:pPr>
            <w:pStyle w:val="6"/>
            <w:keepNext w:val="0"/>
            <w:keepLines w:val="0"/>
            <w:pageBreakBefore w:val="0"/>
            <w:widowControl w:val="0"/>
            <w:tabs>
              <w:tab w:val="right" w:leader="dot" w:pos="8306"/>
            </w:tabs>
            <w:kinsoku/>
            <w:wordWrap/>
            <w:overflowPunct/>
            <w:topLinePunct w:val="0"/>
            <w:autoSpaceDE/>
            <w:autoSpaceDN/>
            <w:bidi w:val="0"/>
            <w:adjustRightInd/>
            <w:snapToGrid/>
            <w:spacing w:line="520" w:lineRule="exact"/>
            <w:ind w:left="0" w:leftChars="0" w:firstLine="420" w:firstLineChars="200"/>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_Toc5822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黑体_GBK" w:hAnsi="方正黑体_GBK" w:eastAsia="方正黑体_GBK" w:cs="方正黑体_GBK"/>
              <w:szCs w:val="28"/>
              <w:lang w:val="en-US" w:eastAsia="zh-CN"/>
            </w:rPr>
            <w:t>案例6：非遗文化浸润培育文化传承新人</w:t>
          </w:r>
          <w:r>
            <w:tab/>
          </w:r>
          <w:r>
            <w:fldChar w:fldCharType="begin"/>
          </w:r>
          <w:r>
            <w:instrText xml:space="preserve"> PAGEREF _Toc5822 \h </w:instrText>
          </w:r>
          <w:r>
            <w:fldChar w:fldCharType="separate"/>
          </w:r>
          <w:r>
            <w:t>- 20 -</w:t>
          </w:r>
          <w:r>
            <w:fldChar w:fldCharType="end"/>
          </w:r>
          <w:r>
            <w:rPr>
              <w:rFonts w:hint="eastAsia" w:ascii="方正黑体_GBK" w:hAnsi="方正黑体_GBK" w:eastAsia="方正黑体_GBK" w:cs="方正黑体_GBK"/>
              <w:kern w:val="2"/>
              <w:szCs w:val="32"/>
              <w:lang w:val="en-US" w:eastAsia="zh-CN" w:bidi="ar-SA"/>
            </w:rPr>
            <w:fldChar w:fldCharType="end"/>
          </w:r>
        </w:p>
        <w:p w14:paraId="595F255F">
          <w:pPr>
            <w:pStyle w:val="6"/>
            <w:keepNext w:val="0"/>
            <w:keepLines w:val="0"/>
            <w:pageBreakBefore w:val="0"/>
            <w:widowControl w:val="0"/>
            <w:tabs>
              <w:tab w:val="right" w:leader="dot" w:pos="8306"/>
            </w:tabs>
            <w:kinsoku/>
            <w:wordWrap/>
            <w:overflowPunct/>
            <w:topLinePunct w:val="0"/>
            <w:autoSpaceDE/>
            <w:autoSpaceDN/>
            <w:bidi w:val="0"/>
            <w:adjustRightInd/>
            <w:snapToGrid/>
            <w:spacing w:line="520" w:lineRule="exact"/>
            <w:ind w:left="0" w:leftChars="0" w:firstLine="420" w:firstLineChars="200"/>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_Toc28942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黑体_GBK" w:hAnsi="方正黑体_GBK" w:eastAsia="方正黑体_GBK" w:cs="方正黑体_GBK"/>
              <w:szCs w:val="28"/>
              <w:lang w:val="en-US" w:eastAsia="zh-CN"/>
            </w:rPr>
            <w:t>案例7：红色教育铸魂厚植家国情怀</w:t>
          </w:r>
          <w:r>
            <w:tab/>
          </w:r>
          <w:r>
            <w:fldChar w:fldCharType="begin"/>
          </w:r>
          <w:r>
            <w:instrText xml:space="preserve"> PAGEREF _Toc28942 \h </w:instrText>
          </w:r>
          <w:r>
            <w:fldChar w:fldCharType="separate"/>
          </w:r>
          <w:r>
            <w:t>- 21 -</w:t>
          </w:r>
          <w:r>
            <w:fldChar w:fldCharType="end"/>
          </w:r>
          <w:r>
            <w:rPr>
              <w:rFonts w:hint="eastAsia" w:ascii="方正黑体_GBK" w:hAnsi="方正黑体_GBK" w:eastAsia="方正黑体_GBK" w:cs="方正黑体_GBK"/>
              <w:kern w:val="2"/>
              <w:szCs w:val="32"/>
              <w:lang w:val="en-US" w:eastAsia="zh-CN" w:bidi="ar-SA"/>
            </w:rPr>
            <w:fldChar w:fldCharType="end"/>
          </w:r>
        </w:p>
        <w:p w14:paraId="7A5039EA">
          <w:pPr>
            <w:pStyle w:val="9"/>
            <w:keepNext w:val="0"/>
            <w:keepLines w:val="0"/>
            <w:pageBreakBefore w:val="0"/>
            <w:widowControl w:val="0"/>
            <w:tabs>
              <w:tab w:val="right" w:leader="dot" w:pos="8306"/>
            </w:tabs>
            <w:kinsoku/>
            <w:wordWrap/>
            <w:overflowPunct/>
            <w:topLinePunct w:val="0"/>
            <w:autoSpaceDE/>
            <w:autoSpaceDN/>
            <w:bidi w:val="0"/>
            <w:adjustRightInd/>
            <w:snapToGrid/>
            <w:spacing w:line="520" w:lineRule="exact"/>
            <w:ind w:firstLine="420" w:firstLineChars="200"/>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_Toc2875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黑体_GBK" w:hAnsi="方正黑体_GBK" w:eastAsia="方正黑体_GBK" w:cs="方正黑体_GBK"/>
              <w:szCs w:val="28"/>
              <w:lang w:val="en-US" w:eastAsia="zh-CN"/>
            </w:rPr>
            <w:t>案例8：三级质量保障精准提升办学水平</w:t>
          </w:r>
          <w:r>
            <w:tab/>
          </w:r>
          <w:r>
            <w:fldChar w:fldCharType="begin"/>
          </w:r>
          <w:r>
            <w:instrText xml:space="preserve"> PAGEREF _Toc2875 \h </w:instrText>
          </w:r>
          <w:r>
            <w:fldChar w:fldCharType="separate"/>
          </w:r>
          <w:r>
            <w:t>- 26 -</w:t>
          </w:r>
          <w:r>
            <w:fldChar w:fldCharType="end"/>
          </w:r>
          <w:r>
            <w:rPr>
              <w:rFonts w:hint="eastAsia" w:ascii="方正黑体_GBK" w:hAnsi="方正黑体_GBK" w:eastAsia="方正黑体_GBK" w:cs="方正黑体_GBK"/>
              <w:kern w:val="2"/>
              <w:szCs w:val="32"/>
              <w:lang w:val="en-US" w:eastAsia="zh-CN" w:bidi="ar-SA"/>
            </w:rPr>
            <w:fldChar w:fldCharType="end"/>
          </w:r>
        </w:p>
        <w:p w14:paraId="12339874">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黑体_GBK" w:hAnsi="方正黑体_GBK" w:eastAsia="方正黑体_GBK" w:cs="方正黑体_GBK"/>
              <w:kern w:val="2"/>
              <w:szCs w:val="32"/>
              <w:lang w:val="en-US" w:eastAsia="zh-CN" w:bidi="ar-SA"/>
            </w:rPr>
          </w:pPr>
          <w:r>
            <w:rPr>
              <w:rFonts w:hint="eastAsia" w:ascii="方正黑体_GBK" w:hAnsi="方正黑体_GBK" w:eastAsia="方正黑体_GBK" w:cs="方正黑体_GBK"/>
              <w:kern w:val="2"/>
              <w:szCs w:val="32"/>
              <w:lang w:val="en-US" w:eastAsia="zh-CN" w:bidi="ar-SA"/>
            </w:rPr>
            <w:t>图片目录</w:t>
          </w:r>
        </w:p>
        <w:p w14:paraId="4C3D2B71">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_Toc18326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仿宋_GBK" w:hAnsi="方正仿宋_GBK" w:eastAsia="方正仿宋_GBK" w:cs="方正仿宋_GBK"/>
              <w:szCs w:val="28"/>
              <w:lang w:val="en-US" w:eastAsia="zh-CN"/>
            </w:rPr>
            <w:t xml:space="preserve">图1.0  </w:t>
          </w:r>
          <w:r>
            <w:rPr>
              <w:rFonts w:hint="eastAsia" w:ascii="方正仿宋_GBK" w:hAnsi="方正仿宋_GBK" w:eastAsia="方正仿宋_GBK" w:cs="方正仿宋_GBK"/>
              <w:i w:val="0"/>
              <w:iCs w:val="0"/>
              <w:caps w:val="0"/>
              <w:spacing w:val="0"/>
              <w:szCs w:val="28"/>
              <w:shd w:val="clear" w:fill="FFFFFF"/>
            </w:rPr>
            <w:t>2024-2025年核心指标增长柱状图</w:t>
          </w:r>
          <w:r>
            <w:tab/>
          </w:r>
          <w:r>
            <w:fldChar w:fldCharType="begin"/>
          </w:r>
          <w:r>
            <w:instrText xml:space="preserve"> PAGEREF _Toc18326 \h </w:instrText>
          </w:r>
          <w:r>
            <w:fldChar w:fldCharType="separate"/>
          </w:r>
          <w:r>
            <w:t>- 6 -</w:t>
          </w:r>
          <w:r>
            <w:fldChar w:fldCharType="end"/>
          </w:r>
          <w:r>
            <w:rPr>
              <w:rFonts w:hint="eastAsia" w:ascii="方正黑体_GBK" w:hAnsi="方正黑体_GBK" w:eastAsia="方正黑体_GBK" w:cs="方正黑体_GBK"/>
              <w:kern w:val="2"/>
              <w:szCs w:val="32"/>
              <w:lang w:val="en-US" w:eastAsia="zh-CN" w:bidi="ar-SA"/>
            </w:rPr>
            <w:fldChar w:fldCharType="end"/>
          </w:r>
        </w:p>
        <w:p w14:paraId="563E1169">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_Toc29030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仿宋_GBK" w:hAnsi="方正仿宋_GBK" w:eastAsia="方正仿宋_GBK" w:cs="方正仿宋_GBK"/>
              <w:szCs w:val="36"/>
              <w:lang w:val="en-US" w:eastAsia="zh-CN"/>
            </w:rPr>
            <w:t>图1.1  学校鸟瞰图</w:t>
          </w:r>
          <w:r>
            <w:tab/>
          </w:r>
          <w:r>
            <w:fldChar w:fldCharType="begin"/>
          </w:r>
          <w:r>
            <w:instrText xml:space="preserve"> PAGEREF _Toc29030 \h </w:instrText>
          </w:r>
          <w:r>
            <w:fldChar w:fldCharType="separate"/>
          </w:r>
          <w:r>
            <w:t>- 7 -</w:t>
          </w:r>
          <w:r>
            <w:fldChar w:fldCharType="end"/>
          </w:r>
          <w:r>
            <w:rPr>
              <w:rFonts w:hint="eastAsia" w:ascii="方正黑体_GBK" w:hAnsi="方正黑体_GBK" w:eastAsia="方正黑体_GBK" w:cs="方正黑体_GBK"/>
              <w:kern w:val="2"/>
              <w:szCs w:val="32"/>
              <w:lang w:val="en-US" w:eastAsia="zh-CN" w:bidi="ar-SA"/>
            </w:rPr>
            <w:fldChar w:fldCharType="end"/>
          </w:r>
        </w:p>
        <w:p w14:paraId="70DABDEF">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_Toc13721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仿宋_GBK" w:hAnsi="方正仿宋_GBK" w:eastAsia="方正仿宋_GBK" w:cs="方正仿宋_GBK"/>
              <w:szCs w:val="28"/>
              <w:lang w:val="en-US" w:eastAsia="zh-CN"/>
            </w:rPr>
            <w:t xml:space="preserve">图1.2  </w:t>
          </w:r>
          <w:r>
            <w:rPr>
              <w:rFonts w:hint="eastAsia" w:ascii="方正仿宋_GBK" w:hAnsi="方正仿宋_GBK" w:eastAsia="方正仿宋_GBK" w:cs="方正仿宋_GBK"/>
              <w:i w:val="0"/>
              <w:iCs w:val="0"/>
              <w:caps w:val="0"/>
              <w:spacing w:val="0"/>
              <w:szCs w:val="28"/>
              <w:shd w:val="clear" w:fill="FFFFFF"/>
            </w:rPr>
            <w:t>2025年在校生年龄结构饼图</w:t>
          </w:r>
          <w:r>
            <w:tab/>
          </w:r>
          <w:r>
            <w:fldChar w:fldCharType="begin"/>
          </w:r>
          <w:r>
            <w:instrText xml:space="preserve"> PAGEREF _Toc13721 \h </w:instrText>
          </w:r>
          <w:r>
            <w:fldChar w:fldCharType="separate"/>
          </w:r>
          <w:r>
            <w:t>- 8 -</w:t>
          </w:r>
          <w:r>
            <w:fldChar w:fldCharType="end"/>
          </w:r>
          <w:r>
            <w:rPr>
              <w:rFonts w:hint="eastAsia" w:ascii="方正黑体_GBK" w:hAnsi="方正黑体_GBK" w:eastAsia="方正黑体_GBK" w:cs="方正黑体_GBK"/>
              <w:kern w:val="2"/>
              <w:szCs w:val="32"/>
              <w:lang w:val="en-US" w:eastAsia="zh-CN" w:bidi="ar-SA"/>
            </w:rPr>
            <w:fldChar w:fldCharType="end"/>
          </w:r>
        </w:p>
        <w:p w14:paraId="4BA11AAA">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_Toc7357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仿宋_GBK" w:hAnsi="方正仿宋_GBK" w:eastAsia="方正仿宋_GBK" w:cs="方正仿宋_GBK"/>
              <w:szCs w:val="28"/>
              <w:lang w:val="en-US" w:eastAsia="zh-CN"/>
            </w:rPr>
            <w:t>图2.1  组织学生参观瑶岗渡江战役总前委旧址纪念馆</w:t>
          </w:r>
          <w:r>
            <w:tab/>
          </w:r>
          <w:r>
            <w:fldChar w:fldCharType="begin"/>
          </w:r>
          <w:r>
            <w:instrText xml:space="preserve"> PAGEREF _Toc7357 \h </w:instrText>
          </w:r>
          <w:r>
            <w:fldChar w:fldCharType="separate"/>
          </w:r>
          <w:r>
            <w:t>- 11 -</w:t>
          </w:r>
          <w:r>
            <w:fldChar w:fldCharType="end"/>
          </w:r>
          <w:r>
            <w:rPr>
              <w:rFonts w:hint="eastAsia" w:ascii="方正黑体_GBK" w:hAnsi="方正黑体_GBK" w:eastAsia="方正黑体_GBK" w:cs="方正黑体_GBK"/>
              <w:kern w:val="2"/>
              <w:szCs w:val="32"/>
              <w:lang w:val="en-US" w:eastAsia="zh-CN" w:bidi="ar-SA"/>
            </w:rPr>
            <w:fldChar w:fldCharType="end"/>
          </w:r>
        </w:p>
        <w:p w14:paraId="17D27E82">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_Toc6645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仿宋_GBK" w:hAnsi="方正仿宋_GBK" w:eastAsia="方正仿宋_GBK" w:cs="方正仿宋_GBK"/>
              <w:szCs w:val="28"/>
              <w:lang w:val="en-US" w:eastAsia="zh-CN"/>
            </w:rPr>
            <w:t>图2.2-1  2025届毕业生韦筱蝶通过对口高考升入安徽艺术学院</w:t>
          </w:r>
          <w:r>
            <w:tab/>
          </w:r>
          <w:r>
            <w:fldChar w:fldCharType="begin"/>
          </w:r>
          <w:r>
            <w:instrText xml:space="preserve"> PAGEREF _Toc6645 \h </w:instrText>
          </w:r>
          <w:r>
            <w:fldChar w:fldCharType="separate"/>
          </w:r>
          <w:r>
            <w:t>- 12 -</w:t>
          </w:r>
          <w:r>
            <w:fldChar w:fldCharType="end"/>
          </w:r>
          <w:r>
            <w:rPr>
              <w:rFonts w:hint="eastAsia" w:ascii="方正黑体_GBK" w:hAnsi="方正黑体_GBK" w:eastAsia="方正黑体_GBK" w:cs="方正黑体_GBK"/>
              <w:kern w:val="2"/>
              <w:szCs w:val="32"/>
              <w:lang w:val="en-US" w:eastAsia="zh-CN" w:bidi="ar-SA"/>
            </w:rPr>
            <w:fldChar w:fldCharType="end"/>
          </w:r>
        </w:p>
        <w:p w14:paraId="16E4992F">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_Toc15065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仿宋_GBK" w:hAnsi="方正仿宋_GBK" w:eastAsia="方正仿宋_GBK" w:cs="方正仿宋_GBK"/>
              <w:szCs w:val="28"/>
              <w:lang w:val="en-US" w:eastAsia="zh-CN"/>
            </w:rPr>
            <w:t>图2.2-2  2025届毕业生张雅柔自主参加艺术类高考升入中南大学</w:t>
          </w:r>
          <w:r>
            <w:tab/>
          </w:r>
          <w:r>
            <w:fldChar w:fldCharType="begin"/>
          </w:r>
          <w:r>
            <w:instrText xml:space="preserve"> PAGEREF _Toc15065 \h </w:instrText>
          </w:r>
          <w:r>
            <w:fldChar w:fldCharType="separate"/>
          </w:r>
          <w:r>
            <w:t>- 12 -</w:t>
          </w:r>
          <w:r>
            <w:fldChar w:fldCharType="end"/>
          </w:r>
          <w:r>
            <w:rPr>
              <w:rFonts w:hint="eastAsia" w:ascii="方正黑体_GBK" w:hAnsi="方正黑体_GBK" w:eastAsia="方正黑体_GBK" w:cs="方正黑体_GBK"/>
              <w:kern w:val="2"/>
              <w:szCs w:val="32"/>
              <w:lang w:val="en-US" w:eastAsia="zh-CN" w:bidi="ar-SA"/>
            </w:rPr>
            <w:fldChar w:fldCharType="end"/>
          </w:r>
        </w:p>
        <w:p w14:paraId="77E79101">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_Toc15301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仿宋_GBK" w:hAnsi="方正仿宋_GBK" w:eastAsia="方正仿宋_GBK" w:cs="方正仿宋_GBK"/>
              <w:szCs w:val="28"/>
              <w:lang w:val="en-US" w:eastAsia="zh-CN"/>
            </w:rPr>
            <w:t>图2.2-3  2025届毕业生陆圣阳自主参加体育高考升入安徽师范大学</w:t>
          </w:r>
          <w:r>
            <w:tab/>
          </w:r>
          <w:r>
            <w:fldChar w:fldCharType="begin"/>
          </w:r>
          <w:r>
            <w:instrText xml:space="preserve"> PAGEREF _Toc15301 \h </w:instrText>
          </w:r>
          <w:r>
            <w:fldChar w:fldCharType="separate"/>
          </w:r>
          <w:r>
            <w:t>- 13 -</w:t>
          </w:r>
          <w:r>
            <w:fldChar w:fldCharType="end"/>
          </w:r>
          <w:r>
            <w:rPr>
              <w:rFonts w:hint="eastAsia" w:ascii="方正黑体_GBK" w:hAnsi="方正黑体_GBK" w:eastAsia="方正黑体_GBK" w:cs="方正黑体_GBK"/>
              <w:kern w:val="2"/>
              <w:szCs w:val="32"/>
              <w:lang w:val="en-US" w:eastAsia="zh-CN" w:bidi="ar-SA"/>
            </w:rPr>
            <w:fldChar w:fldCharType="end"/>
          </w:r>
        </w:p>
        <w:p w14:paraId="457E0C5C">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_Toc30519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仿宋_GBK" w:hAnsi="方正仿宋_GBK" w:eastAsia="方正仿宋_GBK" w:cs="方正仿宋_GBK"/>
              <w:szCs w:val="28"/>
              <w:lang w:val="en-US" w:eastAsia="zh-CN"/>
            </w:rPr>
            <w:t>图2.4-1  城市轨道交通运营管理专业学生在技能大赛实训基地训练</w:t>
          </w:r>
          <w:r>
            <w:tab/>
          </w:r>
          <w:r>
            <w:fldChar w:fldCharType="begin"/>
          </w:r>
          <w:r>
            <w:instrText xml:space="preserve"> PAGEREF _Toc30519 \h </w:instrText>
          </w:r>
          <w:r>
            <w:fldChar w:fldCharType="separate"/>
          </w:r>
          <w:r>
            <w:t>- 14 -</w:t>
          </w:r>
          <w:r>
            <w:fldChar w:fldCharType="end"/>
          </w:r>
          <w:r>
            <w:rPr>
              <w:rFonts w:hint="eastAsia" w:ascii="方正黑体_GBK" w:hAnsi="方正黑体_GBK" w:eastAsia="方正黑体_GBK" w:cs="方正黑体_GBK"/>
              <w:kern w:val="2"/>
              <w:szCs w:val="32"/>
              <w:lang w:val="en-US" w:eastAsia="zh-CN" w:bidi="ar-SA"/>
            </w:rPr>
            <w:fldChar w:fldCharType="end"/>
          </w:r>
        </w:p>
        <w:p w14:paraId="5359C7BB">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_Toc10163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仿宋_GBK" w:hAnsi="方正仿宋_GBK" w:eastAsia="方正仿宋_GBK" w:cs="方正仿宋_GBK"/>
              <w:szCs w:val="28"/>
              <w:lang w:val="en-US" w:eastAsia="zh-CN"/>
            </w:rPr>
            <w:t>图2.4-2  学生斩获2025年世赛“新一代信息技术”赛道铜牌</w:t>
          </w:r>
          <w:r>
            <w:tab/>
          </w:r>
          <w:r>
            <w:fldChar w:fldCharType="begin"/>
          </w:r>
          <w:r>
            <w:instrText xml:space="preserve"> PAGEREF _Toc10163 \h </w:instrText>
          </w:r>
          <w:r>
            <w:fldChar w:fldCharType="separate"/>
          </w:r>
          <w:r>
            <w:t>- 15 -</w:t>
          </w:r>
          <w:r>
            <w:fldChar w:fldCharType="end"/>
          </w:r>
          <w:r>
            <w:rPr>
              <w:rFonts w:hint="eastAsia" w:ascii="方正黑体_GBK" w:hAnsi="方正黑体_GBK" w:eastAsia="方正黑体_GBK" w:cs="方正黑体_GBK"/>
              <w:kern w:val="2"/>
              <w:szCs w:val="32"/>
              <w:lang w:val="en-US" w:eastAsia="zh-CN" w:bidi="ar-SA"/>
            </w:rPr>
            <w:fldChar w:fldCharType="end"/>
          </w:r>
        </w:p>
        <w:p w14:paraId="3DBCFC8E">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_Toc18909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仿宋_GBK" w:hAnsi="方正仿宋_GBK" w:eastAsia="方正仿宋_GBK" w:cs="方正仿宋_GBK"/>
              <w:szCs w:val="28"/>
              <w:lang w:val="en-US" w:eastAsia="zh-CN"/>
            </w:rPr>
            <w:t>图2.4-3  学生斩获2025年世赛“轨道交通运输”赛道铜牌</w:t>
          </w:r>
          <w:r>
            <w:tab/>
          </w:r>
          <w:r>
            <w:fldChar w:fldCharType="begin"/>
          </w:r>
          <w:r>
            <w:instrText xml:space="preserve"> PAGEREF _Toc18909 \h </w:instrText>
          </w:r>
          <w:r>
            <w:fldChar w:fldCharType="separate"/>
          </w:r>
          <w:r>
            <w:t>- 15 -</w:t>
          </w:r>
          <w:r>
            <w:fldChar w:fldCharType="end"/>
          </w:r>
          <w:r>
            <w:rPr>
              <w:rFonts w:hint="eastAsia" w:ascii="方正黑体_GBK" w:hAnsi="方正黑体_GBK" w:eastAsia="方正黑体_GBK" w:cs="方正黑体_GBK"/>
              <w:kern w:val="2"/>
              <w:szCs w:val="32"/>
              <w:lang w:val="en-US" w:eastAsia="zh-CN" w:bidi="ar-SA"/>
            </w:rPr>
            <w:fldChar w:fldCharType="end"/>
          </w:r>
        </w:p>
        <w:p w14:paraId="6D154ABE">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_Toc13559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仿宋_GBK" w:hAnsi="方正仿宋_GBK" w:eastAsia="方正仿宋_GBK" w:cs="方正仿宋_GBK"/>
              <w:szCs w:val="28"/>
              <w:lang w:val="en-US" w:eastAsia="zh-CN"/>
            </w:rPr>
            <w:t>图3.4  学校“江淮技能大师”张露老师做手工制茶公益培训</w:t>
          </w:r>
          <w:r>
            <w:tab/>
          </w:r>
          <w:r>
            <w:fldChar w:fldCharType="begin"/>
          </w:r>
          <w:r>
            <w:instrText xml:space="preserve"> PAGEREF _Toc13559 \h </w:instrText>
          </w:r>
          <w:r>
            <w:fldChar w:fldCharType="separate"/>
          </w:r>
          <w:r>
            <w:t>- 17 -</w:t>
          </w:r>
          <w:r>
            <w:fldChar w:fldCharType="end"/>
          </w:r>
          <w:r>
            <w:rPr>
              <w:rFonts w:hint="eastAsia" w:ascii="方正黑体_GBK" w:hAnsi="方正黑体_GBK" w:eastAsia="方正黑体_GBK" w:cs="方正黑体_GBK"/>
              <w:kern w:val="2"/>
              <w:szCs w:val="32"/>
              <w:lang w:val="en-US" w:eastAsia="zh-CN" w:bidi="ar-SA"/>
            </w:rPr>
            <w:fldChar w:fldCharType="end"/>
          </w:r>
        </w:p>
        <w:p w14:paraId="3301DD33">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_Toc32585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仿宋_GBK" w:hAnsi="方正仿宋_GBK" w:eastAsia="方正仿宋_GBK" w:cs="方正仿宋_GBK"/>
              <w:szCs w:val="28"/>
              <w:lang w:val="en-US" w:eastAsia="zh-CN"/>
            </w:rPr>
            <w:t>图4.2  京东公司派遣技术骨干在电商实训基地开展实战培训</w:t>
          </w:r>
          <w:r>
            <w:tab/>
          </w:r>
          <w:r>
            <w:fldChar w:fldCharType="begin"/>
          </w:r>
          <w:r>
            <w:instrText xml:space="preserve"> PAGEREF _Toc32585 \h </w:instrText>
          </w:r>
          <w:r>
            <w:fldChar w:fldCharType="separate"/>
          </w:r>
          <w:r>
            <w:t>- 19 -</w:t>
          </w:r>
          <w:r>
            <w:fldChar w:fldCharType="end"/>
          </w:r>
          <w:r>
            <w:rPr>
              <w:rFonts w:hint="eastAsia" w:ascii="方正黑体_GBK" w:hAnsi="方正黑体_GBK" w:eastAsia="方正黑体_GBK" w:cs="方正黑体_GBK"/>
              <w:kern w:val="2"/>
              <w:szCs w:val="32"/>
              <w:lang w:val="en-US" w:eastAsia="zh-CN" w:bidi="ar-SA"/>
            </w:rPr>
            <w:fldChar w:fldCharType="end"/>
          </w:r>
        </w:p>
        <w:p w14:paraId="2451B021">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_Toc23745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仿宋_GBK" w:hAnsi="方正仿宋_GBK" w:eastAsia="方正仿宋_GBK" w:cs="方正仿宋_GBK"/>
              <w:szCs w:val="28"/>
              <w:lang w:val="en-US" w:eastAsia="zh-CN"/>
            </w:rPr>
            <w:t>图5.1-1  2025届毕业生周翰林在校园文化节上表演京剧</w:t>
          </w:r>
          <w:r>
            <w:tab/>
          </w:r>
          <w:r>
            <w:fldChar w:fldCharType="begin"/>
          </w:r>
          <w:r>
            <w:instrText xml:space="preserve"> PAGEREF _Toc23745 \h </w:instrText>
          </w:r>
          <w:r>
            <w:fldChar w:fldCharType="separate"/>
          </w:r>
          <w:r>
            <w:t>- 20 -</w:t>
          </w:r>
          <w:r>
            <w:fldChar w:fldCharType="end"/>
          </w:r>
          <w:r>
            <w:rPr>
              <w:rFonts w:hint="eastAsia" w:ascii="方正黑体_GBK" w:hAnsi="方正黑体_GBK" w:eastAsia="方正黑体_GBK" w:cs="方正黑体_GBK"/>
              <w:kern w:val="2"/>
              <w:szCs w:val="32"/>
              <w:lang w:val="en-US" w:eastAsia="zh-CN" w:bidi="ar-SA"/>
            </w:rPr>
            <w:fldChar w:fldCharType="end"/>
          </w:r>
        </w:p>
        <w:p w14:paraId="450ABA46">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_Toc6118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仿宋_GBK" w:hAnsi="方正仿宋_GBK" w:eastAsia="方正仿宋_GBK" w:cs="方正仿宋_GBK"/>
              <w:szCs w:val="28"/>
              <w:lang w:val="en-US" w:eastAsia="zh-CN"/>
            </w:rPr>
            <w:t>图5.1-2  何家贝老师编排的民乐曲目获得2024-2025年度安徽省职业院校技能大赛（中职组）一等奖</w:t>
          </w:r>
          <w:r>
            <w:tab/>
          </w:r>
          <w:r>
            <w:fldChar w:fldCharType="begin"/>
          </w:r>
          <w:r>
            <w:instrText xml:space="preserve"> PAGEREF _Toc6118 \h </w:instrText>
          </w:r>
          <w:r>
            <w:fldChar w:fldCharType="separate"/>
          </w:r>
          <w:r>
            <w:t>- 21 -</w:t>
          </w:r>
          <w:r>
            <w:fldChar w:fldCharType="end"/>
          </w:r>
          <w:r>
            <w:rPr>
              <w:rFonts w:hint="eastAsia" w:ascii="方正黑体_GBK" w:hAnsi="方正黑体_GBK" w:eastAsia="方正黑体_GBK" w:cs="方正黑体_GBK"/>
              <w:kern w:val="2"/>
              <w:szCs w:val="32"/>
              <w:lang w:val="en-US" w:eastAsia="zh-CN" w:bidi="ar-SA"/>
            </w:rPr>
            <w:fldChar w:fldCharType="end"/>
          </w:r>
        </w:p>
        <w:p w14:paraId="78F510C6">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_Toc12470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仿宋_GBK" w:hAnsi="方正仿宋_GBK" w:eastAsia="方正仿宋_GBK" w:cs="方正仿宋_GBK"/>
              <w:szCs w:val="28"/>
              <w:lang w:val="en-US" w:eastAsia="zh-CN"/>
            </w:rPr>
            <w:t>图5.2  组织学生赴大别山红色教育基地开展实践活动</w:t>
          </w:r>
          <w:r>
            <w:tab/>
          </w:r>
          <w:r>
            <w:fldChar w:fldCharType="begin"/>
          </w:r>
          <w:r>
            <w:instrText xml:space="preserve"> PAGEREF _Toc12470 \h </w:instrText>
          </w:r>
          <w:r>
            <w:fldChar w:fldCharType="separate"/>
          </w:r>
          <w:r>
            <w:t>- 22 -</w:t>
          </w:r>
          <w:r>
            <w:fldChar w:fldCharType="end"/>
          </w:r>
          <w:r>
            <w:rPr>
              <w:rFonts w:hint="eastAsia" w:ascii="方正黑体_GBK" w:hAnsi="方正黑体_GBK" w:eastAsia="方正黑体_GBK" w:cs="方正黑体_GBK"/>
              <w:kern w:val="2"/>
              <w:szCs w:val="32"/>
              <w:lang w:val="en-US" w:eastAsia="zh-CN" w:bidi="ar-SA"/>
            </w:rPr>
            <w:fldChar w:fldCharType="end"/>
          </w:r>
        </w:p>
        <w:p w14:paraId="5162BCEA">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_Toc21541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仿宋_GBK" w:hAnsi="方正仿宋_GBK" w:eastAsia="方正仿宋_GBK" w:cs="方正仿宋_GBK"/>
              <w:bCs/>
              <w:szCs w:val="28"/>
              <w:lang w:val="en-US" w:eastAsia="zh-CN"/>
            </w:rPr>
            <w:t>图6.2  与</w:t>
          </w:r>
          <w:r>
            <w:rPr>
              <w:rFonts w:hint="eastAsia" w:ascii="方正仿宋_GBK" w:hAnsi="方正仿宋_GBK" w:eastAsia="方正仿宋_GBK" w:cs="方正仿宋_GBK"/>
              <w:bCs/>
              <w:szCs w:val="28"/>
            </w:rPr>
            <w:t>安徽新祥信息技术有限公司</w:t>
          </w:r>
          <w:r>
            <w:rPr>
              <w:rFonts w:hint="eastAsia" w:ascii="方正仿宋_GBK" w:hAnsi="方正仿宋_GBK" w:eastAsia="方正仿宋_GBK" w:cs="方正仿宋_GBK"/>
              <w:bCs/>
              <w:szCs w:val="28"/>
              <w:lang w:val="en-US" w:eastAsia="zh-CN"/>
            </w:rPr>
            <w:t>合作为乌兹别克斯坦远程培养数据中心搭建与运维人才</w:t>
          </w:r>
          <w:r>
            <w:tab/>
          </w:r>
          <w:r>
            <w:fldChar w:fldCharType="begin"/>
          </w:r>
          <w:r>
            <w:instrText xml:space="preserve"> PAGEREF _Toc21541 \h </w:instrText>
          </w:r>
          <w:r>
            <w:fldChar w:fldCharType="separate"/>
          </w:r>
          <w:r>
            <w:t>- 23 -</w:t>
          </w:r>
          <w:r>
            <w:fldChar w:fldCharType="end"/>
          </w:r>
          <w:r>
            <w:rPr>
              <w:rFonts w:hint="eastAsia" w:ascii="方正黑体_GBK" w:hAnsi="方正黑体_GBK" w:eastAsia="方正黑体_GBK" w:cs="方正黑体_GBK"/>
              <w:kern w:val="2"/>
              <w:szCs w:val="32"/>
              <w:lang w:val="en-US" w:eastAsia="zh-CN" w:bidi="ar-SA"/>
            </w:rPr>
            <w:fldChar w:fldCharType="end"/>
          </w:r>
        </w:p>
        <w:p w14:paraId="0536AD57">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_Toc6729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仿宋_GBK" w:hAnsi="方正仿宋_GBK" w:eastAsia="方正仿宋_GBK" w:cs="方正仿宋_GBK"/>
              <w:szCs w:val="28"/>
              <w:lang w:val="en-US" w:eastAsia="zh-CN"/>
            </w:rPr>
            <w:t>图7.1  学校党支部组织党员学习活动</w:t>
          </w:r>
          <w:r>
            <w:tab/>
          </w:r>
          <w:r>
            <w:fldChar w:fldCharType="begin"/>
          </w:r>
          <w:r>
            <w:instrText xml:space="preserve"> PAGEREF _Toc6729 \h </w:instrText>
          </w:r>
          <w:r>
            <w:fldChar w:fldCharType="separate"/>
          </w:r>
          <w:r>
            <w:t>- 24 -</w:t>
          </w:r>
          <w:r>
            <w:fldChar w:fldCharType="end"/>
          </w:r>
          <w:r>
            <w:rPr>
              <w:rFonts w:hint="eastAsia" w:ascii="方正黑体_GBK" w:hAnsi="方正黑体_GBK" w:eastAsia="方正黑体_GBK" w:cs="方正黑体_GBK"/>
              <w:kern w:val="2"/>
              <w:szCs w:val="32"/>
              <w:lang w:val="en-US" w:eastAsia="zh-CN" w:bidi="ar-SA"/>
            </w:rPr>
            <w:fldChar w:fldCharType="end"/>
          </w:r>
        </w:p>
        <w:p w14:paraId="2485C65A">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_Toc29667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仿宋_GBK" w:hAnsi="方正仿宋_GBK" w:eastAsia="方正仿宋_GBK" w:cs="方正仿宋_GBK"/>
              <w:szCs w:val="28"/>
              <w:lang w:val="en-US" w:eastAsia="zh-CN"/>
            </w:rPr>
            <w:t>图7.4-1  电子商务专业学生在电商直播教室实训</w:t>
          </w:r>
          <w:r>
            <w:tab/>
          </w:r>
          <w:r>
            <w:fldChar w:fldCharType="begin"/>
          </w:r>
          <w:r>
            <w:instrText xml:space="preserve"> PAGEREF _Toc29667 \h </w:instrText>
          </w:r>
          <w:r>
            <w:fldChar w:fldCharType="separate"/>
          </w:r>
          <w:r>
            <w:t>- 25 -</w:t>
          </w:r>
          <w:r>
            <w:fldChar w:fldCharType="end"/>
          </w:r>
          <w:r>
            <w:rPr>
              <w:rFonts w:hint="eastAsia" w:ascii="方正黑体_GBK" w:hAnsi="方正黑体_GBK" w:eastAsia="方正黑体_GBK" w:cs="方正黑体_GBK"/>
              <w:kern w:val="2"/>
              <w:szCs w:val="32"/>
              <w:lang w:val="en-US" w:eastAsia="zh-CN" w:bidi="ar-SA"/>
            </w:rPr>
            <w:fldChar w:fldCharType="end"/>
          </w:r>
        </w:p>
        <w:p w14:paraId="7A6FC5AB">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_Toc9248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仿宋_GBK" w:hAnsi="方正仿宋_GBK" w:eastAsia="方正仿宋_GBK" w:cs="方正仿宋_GBK"/>
              <w:szCs w:val="28"/>
              <w:lang w:val="en-US" w:eastAsia="zh-CN"/>
            </w:rPr>
            <w:t>图7.4-2  城市轨道交通运营管理专业学生在实训基地实训</w:t>
          </w:r>
          <w:r>
            <w:tab/>
          </w:r>
          <w:r>
            <w:fldChar w:fldCharType="begin"/>
          </w:r>
          <w:r>
            <w:instrText xml:space="preserve"> PAGEREF _Toc9248 \h </w:instrText>
          </w:r>
          <w:r>
            <w:fldChar w:fldCharType="separate"/>
          </w:r>
          <w:r>
            <w:t>- 25 -</w:t>
          </w:r>
          <w:r>
            <w:fldChar w:fldCharType="end"/>
          </w:r>
          <w:r>
            <w:rPr>
              <w:rFonts w:hint="eastAsia" w:ascii="方正黑体_GBK" w:hAnsi="方正黑体_GBK" w:eastAsia="方正黑体_GBK" w:cs="方正黑体_GBK"/>
              <w:kern w:val="2"/>
              <w:szCs w:val="32"/>
              <w:lang w:val="en-US" w:eastAsia="zh-CN" w:bidi="ar-SA"/>
            </w:rPr>
            <w:fldChar w:fldCharType="end"/>
          </w:r>
        </w:p>
        <w:p w14:paraId="5374FDE4">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rPr>
              <w:rFonts w:hint="default" w:ascii="方正黑体_GBK" w:hAnsi="方正黑体_GBK" w:eastAsia="方正黑体_GBK" w:cs="方正黑体_GBK"/>
              <w:kern w:val="2"/>
              <w:szCs w:val="32"/>
              <w:lang w:val="en-US" w:eastAsia="zh-CN" w:bidi="ar-SA"/>
            </w:rPr>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_Toc31102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仿宋_GBK" w:hAnsi="方正仿宋_GBK" w:eastAsia="方正仿宋_GBK" w:cs="方正仿宋_GBK"/>
              <w:szCs w:val="28"/>
              <w:lang w:val="en-US" w:eastAsia="zh-CN"/>
            </w:rPr>
            <w:t>图7.5  学校组织2025年合肥市第8次中职学校校级公开课</w:t>
          </w:r>
          <w:r>
            <w:tab/>
          </w:r>
          <w:r>
            <w:fldChar w:fldCharType="begin"/>
          </w:r>
          <w:r>
            <w:instrText xml:space="preserve"> PAGEREF _Toc31102 \h </w:instrText>
          </w:r>
          <w:r>
            <w:fldChar w:fldCharType="separate"/>
          </w:r>
          <w:r>
            <w:t>- 26 -</w:t>
          </w:r>
          <w:r>
            <w:fldChar w:fldCharType="end"/>
          </w:r>
          <w:r>
            <w:rPr>
              <w:rFonts w:hint="eastAsia" w:ascii="方正黑体_GBK" w:hAnsi="方正黑体_GBK" w:eastAsia="方正黑体_GBK" w:cs="方正黑体_GBK"/>
              <w:kern w:val="2"/>
              <w:szCs w:val="32"/>
              <w:lang w:val="en-US" w:eastAsia="zh-CN" w:bidi="ar-SA"/>
            </w:rPr>
            <w:fldChar w:fldCharType="end"/>
          </w:r>
        </w:p>
        <w:p w14:paraId="14140491">
          <w:pPr>
            <w:pStyle w:val="9"/>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_Toc7000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黑体_GBK" w:hAnsi="方正黑体_GBK" w:eastAsia="方正黑体_GBK" w:cs="方正黑体_GBK"/>
              <w:szCs w:val="32"/>
              <w:lang w:val="en-US" w:eastAsia="zh-CN"/>
            </w:rPr>
            <w:t>表格目录</w:t>
          </w:r>
          <w:r>
            <w:rPr>
              <w:rFonts w:hint="eastAsia" w:ascii="方正黑体_GBK" w:hAnsi="方正黑体_GBK" w:eastAsia="方正黑体_GBK" w:cs="方正黑体_GBK"/>
              <w:kern w:val="2"/>
              <w:szCs w:val="32"/>
              <w:lang w:val="en-US" w:eastAsia="zh-CN" w:bidi="ar-SA"/>
            </w:rPr>
            <w:fldChar w:fldCharType="end"/>
          </w:r>
        </w:p>
        <w:p w14:paraId="6629A5EF">
          <w:pPr>
            <w:pStyle w:val="9"/>
            <w:keepNext w:val="0"/>
            <w:keepLines w:val="0"/>
            <w:pageBreakBefore w:val="0"/>
            <w:widowControl w:val="0"/>
            <w:tabs>
              <w:tab w:val="right" w:leader="dot" w:pos="8306"/>
            </w:tabs>
            <w:kinsoku/>
            <w:wordWrap/>
            <w:overflowPunct/>
            <w:topLinePunct w:val="0"/>
            <w:autoSpaceDE/>
            <w:autoSpaceDN/>
            <w:bidi w:val="0"/>
            <w:adjustRightInd/>
            <w:snapToGrid/>
            <w:spacing w:line="520" w:lineRule="exact"/>
            <w:ind w:firstLine="420" w:firstLineChars="200"/>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_Toc4110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楷体_GBK" w:hAnsi="方正楷体_GBK" w:eastAsia="方正楷体_GBK" w:cs="方正楷体_GBK"/>
              <w:szCs w:val="28"/>
            </w:rPr>
            <w:t>合肥东辰职业学校2025年度市级及以上技能竞赛获奖名单</w:t>
          </w:r>
          <w:r>
            <w:tab/>
          </w:r>
          <w:r>
            <w:fldChar w:fldCharType="begin"/>
          </w:r>
          <w:r>
            <w:instrText xml:space="preserve"> PAGEREF _Toc4110 \h </w:instrText>
          </w:r>
          <w:r>
            <w:fldChar w:fldCharType="separate"/>
          </w:r>
          <w:r>
            <w:t>- 28 -</w:t>
          </w:r>
          <w:r>
            <w:fldChar w:fldCharType="end"/>
          </w:r>
          <w:r>
            <w:rPr>
              <w:rFonts w:hint="eastAsia" w:ascii="方正黑体_GBK" w:hAnsi="方正黑体_GBK" w:eastAsia="方正黑体_GBK" w:cs="方正黑体_GBK"/>
              <w:kern w:val="2"/>
              <w:szCs w:val="32"/>
              <w:lang w:val="en-US" w:eastAsia="zh-CN" w:bidi="ar-SA"/>
            </w:rPr>
            <w:fldChar w:fldCharType="end"/>
          </w:r>
        </w:p>
        <w:p w14:paraId="1DEC31F2">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_Toc16925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仿宋_GBK" w:hAnsi="方正仿宋_GBK" w:eastAsia="方正仿宋_GBK" w:cs="方正仿宋_GBK"/>
              <w:bCs/>
              <w:szCs w:val="28"/>
              <w:lang w:val="en-US" w:eastAsia="zh-CN" w:bidi="ar"/>
            </w:rPr>
            <w:t>2024-2025年度安徽省职业学校技能大赛（中职组）获奖名单</w:t>
          </w:r>
          <w:r>
            <w:tab/>
          </w:r>
          <w:r>
            <w:fldChar w:fldCharType="begin"/>
          </w:r>
          <w:r>
            <w:instrText xml:space="preserve"> PAGEREF _Toc16925 \h </w:instrText>
          </w:r>
          <w:r>
            <w:fldChar w:fldCharType="separate"/>
          </w:r>
          <w:r>
            <w:t>- 28 -</w:t>
          </w:r>
          <w:r>
            <w:fldChar w:fldCharType="end"/>
          </w:r>
          <w:r>
            <w:rPr>
              <w:rFonts w:hint="eastAsia" w:ascii="方正黑体_GBK" w:hAnsi="方正黑体_GBK" w:eastAsia="方正黑体_GBK" w:cs="方正黑体_GBK"/>
              <w:kern w:val="2"/>
              <w:szCs w:val="32"/>
              <w:lang w:val="en-US" w:eastAsia="zh-CN" w:bidi="ar-SA"/>
            </w:rPr>
            <w:fldChar w:fldCharType="end"/>
          </w:r>
        </w:p>
        <w:p w14:paraId="32CA5B3D">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_Toc32648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仿宋_GBK" w:hAnsi="方正仿宋_GBK" w:eastAsia="方正仿宋_GBK" w:cs="方正仿宋_GBK"/>
              <w:bCs/>
              <w:szCs w:val="28"/>
            </w:rPr>
            <w:t>2025年世界职业学校技能大赛（中职组）获奖名单</w:t>
          </w:r>
          <w:r>
            <w:tab/>
          </w:r>
          <w:r>
            <w:fldChar w:fldCharType="begin"/>
          </w:r>
          <w:r>
            <w:instrText xml:space="preserve"> PAGEREF _Toc32648 \h </w:instrText>
          </w:r>
          <w:r>
            <w:fldChar w:fldCharType="separate"/>
          </w:r>
          <w:r>
            <w:t>- 30 -</w:t>
          </w:r>
          <w:r>
            <w:fldChar w:fldCharType="end"/>
          </w:r>
          <w:r>
            <w:rPr>
              <w:rFonts w:hint="eastAsia" w:ascii="方正黑体_GBK" w:hAnsi="方正黑体_GBK" w:eastAsia="方正黑体_GBK" w:cs="方正黑体_GBK"/>
              <w:kern w:val="2"/>
              <w:szCs w:val="32"/>
              <w:lang w:val="en-US" w:eastAsia="zh-CN" w:bidi="ar-SA"/>
            </w:rPr>
            <w:fldChar w:fldCharType="end"/>
          </w:r>
        </w:p>
        <w:p w14:paraId="104836A2">
          <w:pPr>
            <w:pStyle w:val="10"/>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pPr>
          <w:r>
            <w:rPr>
              <w:rFonts w:hint="eastAsia" w:ascii="方正黑体_GBK" w:hAnsi="方正黑体_GBK" w:eastAsia="方正黑体_GBK" w:cs="方正黑体_GBK"/>
              <w:kern w:val="2"/>
              <w:szCs w:val="32"/>
              <w:lang w:val="en-US" w:eastAsia="zh-CN" w:bidi="ar-SA"/>
            </w:rPr>
            <w:fldChar w:fldCharType="begin"/>
          </w:r>
          <w:r>
            <w:rPr>
              <w:rFonts w:hint="eastAsia" w:ascii="方正黑体_GBK" w:hAnsi="方正黑体_GBK" w:eastAsia="方正黑体_GBK" w:cs="方正黑体_GBK"/>
              <w:kern w:val="2"/>
              <w:szCs w:val="32"/>
              <w:lang w:val="en-US" w:eastAsia="zh-CN" w:bidi="ar-SA"/>
            </w:rPr>
            <w:instrText xml:space="preserve"> HYPERLINK \l _Toc32756 </w:instrText>
          </w:r>
          <w:r>
            <w:rPr>
              <w:rFonts w:hint="eastAsia" w:ascii="方正黑体_GBK" w:hAnsi="方正黑体_GBK" w:eastAsia="方正黑体_GBK" w:cs="方正黑体_GBK"/>
              <w:kern w:val="2"/>
              <w:szCs w:val="32"/>
              <w:lang w:val="en-US" w:eastAsia="zh-CN" w:bidi="ar-SA"/>
            </w:rPr>
            <w:fldChar w:fldCharType="separate"/>
          </w:r>
          <w:r>
            <w:rPr>
              <w:rFonts w:hint="eastAsia" w:ascii="方正仿宋_GBK" w:hAnsi="方正仿宋_GBK" w:eastAsia="方正仿宋_GBK" w:cs="方正仿宋_GBK"/>
              <w:bCs/>
              <w:szCs w:val="28"/>
            </w:rPr>
            <w:t>2025年合肥市中等职业学校技能大赛获奖名单</w:t>
          </w:r>
          <w:r>
            <w:tab/>
          </w:r>
          <w:r>
            <w:fldChar w:fldCharType="begin"/>
          </w:r>
          <w:r>
            <w:instrText xml:space="preserve"> PAGEREF _Toc32756 \h </w:instrText>
          </w:r>
          <w:r>
            <w:fldChar w:fldCharType="separate"/>
          </w:r>
          <w:r>
            <w:t>- 30 -</w:t>
          </w:r>
          <w:r>
            <w:fldChar w:fldCharType="end"/>
          </w:r>
          <w:r>
            <w:rPr>
              <w:rFonts w:hint="eastAsia" w:ascii="方正黑体_GBK" w:hAnsi="方正黑体_GBK" w:eastAsia="方正黑体_GBK" w:cs="方正黑体_GBK"/>
              <w:kern w:val="2"/>
              <w:szCs w:val="32"/>
              <w:lang w:val="en-US" w:eastAsia="zh-CN" w:bidi="ar-SA"/>
            </w:rPr>
            <w:fldChar w:fldCharType="end"/>
          </w:r>
        </w:p>
        <w:p w14:paraId="0E87720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黑体_GBK" w:hAnsi="方正黑体_GBK" w:eastAsia="方正黑体_GBK" w:cs="方正黑体_GBK"/>
              <w:kern w:val="2"/>
              <w:sz w:val="21"/>
              <w:szCs w:val="32"/>
              <w:lang w:val="en-US" w:eastAsia="zh-CN" w:bidi="ar-SA"/>
            </w:rPr>
          </w:pPr>
          <w:r>
            <w:rPr>
              <w:rFonts w:hint="eastAsia" w:ascii="方正黑体_GBK" w:hAnsi="方正黑体_GBK" w:eastAsia="方正黑体_GBK" w:cs="方正黑体_GBK"/>
              <w:kern w:val="2"/>
              <w:szCs w:val="32"/>
              <w:lang w:val="en-US" w:eastAsia="zh-CN" w:bidi="ar-SA"/>
            </w:rPr>
            <w:fldChar w:fldCharType="end"/>
          </w:r>
        </w:p>
      </w:sdtContent>
    </w:sdt>
    <w:p w14:paraId="790184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黑体_GBK" w:hAnsi="方正黑体_GBK" w:eastAsia="方正黑体_GBK" w:cs="方正黑体_GBK"/>
          <w:kern w:val="2"/>
          <w:sz w:val="21"/>
          <w:szCs w:val="32"/>
          <w:lang w:val="en-US" w:eastAsia="zh-CN" w:bidi="ar-SA"/>
        </w:rPr>
      </w:pPr>
    </w:p>
    <w:p w14:paraId="42F1B06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方正黑体_GBK" w:hAnsi="方正黑体_GBK" w:eastAsia="方正黑体_GBK" w:cs="方正黑体_GBK"/>
          <w:kern w:val="2"/>
          <w:sz w:val="21"/>
          <w:szCs w:val="32"/>
          <w:lang w:val="en-US" w:eastAsia="zh-CN" w:bidi="ar-SA"/>
        </w:rPr>
      </w:pPr>
    </w:p>
    <w:p w14:paraId="3C30C3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黑体_GBK" w:hAnsi="方正黑体_GBK" w:eastAsia="方正黑体_GBK" w:cs="方正黑体_GBK"/>
          <w:kern w:val="2"/>
          <w:sz w:val="21"/>
          <w:szCs w:val="32"/>
          <w:lang w:val="en-US" w:eastAsia="zh-CN" w:bidi="ar-SA"/>
        </w:rPr>
      </w:pPr>
    </w:p>
    <w:p w14:paraId="5CC102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黑体_GBK" w:hAnsi="方正黑体_GBK" w:eastAsia="方正黑体_GBK" w:cs="方正黑体_GBK"/>
          <w:kern w:val="2"/>
          <w:sz w:val="21"/>
          <w:szCs w:val="32"/>
          <w:lang w:val="en-US" w:eastAsia="zh-CN" w:bidi="ar-SA"/>
        </w:rPr>
      </w:pPr>
      <w:r>
        <w:rPr>
          <w:rFonts w:hint="eastAsia" w:ascii="方正黑体_GBK" w:hAnsi="方正黑体_GBK" w:eastAsia="方正黑体_GBK" w:cs="方正黑体_GBK"/>
          <w:kern w:val="2"/>
          <w:sz w:val="21"/>
          <w:szCs w:val="32"/>
          <w:lang w:val="en-US" w:eastAsia="zh-CN" w:bidi="ar-SA"/>
        </w:rPr>
        <w:drawing>
          <wp:inline distT="0" distB="0" distL="114300" distR="114300">
            <wp:extent cx="5257800" cy="7233285"/>
            <wp:effectExtent l="0" t="0" r="0" b="5715"/>
            <wp:docPr id="2" name="图片 2" descr="内容真实性责任声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内容真实性责任声明"/>
                    <pic:cNvPicPr>
                      <a:picLocks noChangeAspect="1"/>
                    </pic:cNvPicPr>
                  </pic:nvPicPr>
                  <pic:blipFill>
                    <a:blip r:embed="rId7"/>
                    <a:stretch>
                      <a:fillRect/>
                    </a:stretch>
                  </pic:blipFill>
                  <pic:spPr>
                    <a:xfrm>
                      <a:off x="0" y="0"/>
                      <a:ext cx="5257800" cy="7233285"/>
                    </a:xfrm>
                    <a:prstGeom prst="rect">
                      <a:avLst/>
                    </a:prstGeom>
                  </pic:spPr>
                </pic:pic>
              </a:graphicData>
            </a:graphic>
          </wp:inline>
        </w:drawing>
      </w:r>
    </w:p>
    <w:p w14:paraId="207A35D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方正仿宋_GBK" w:hAnsi="方正仿宋_GBK" w:eastAsia="方正仿宋_GBK" w:cs="方正仿宋_GBK"/>
          <w:kern w:val="2"/>
          <w:sz w:val="28"/>
          <w:szCs w:val="28"/>
          <w:lang w:val="en-US" w:eastAsia="zh-CN" w:bidi="ar-SA"/>
        </w:rPr>
      </w:pPr>
      <w:bookmarkStart w:id="0" w:name="_Toc12550"/>
      <w:r>
        <w:rPr>
          <w:rFonts w:hint="eastAsia" w:ascii="方正仿宋_GBK" w:hAnsi="方正仿宋_GBK" w:eastAsia="方正仿宋_GBK" w:cs="方正仿宋_GBK"/>
          <w:kern w:val="2"/>
          <w:sz w:val="28"/>
          <w:szCs w:val="28"/>
          <w:lang w:val="en-US" w:eastAsia="zh-CN" w:bidi="ar-SA"/>
        </w:rPr>
        <w:t>内容真实性责任声明</w:t>
      </w:r>
      <w:bookmarkEnd w:id="0"/>
    </w:p>
    <w:p w14:paraId="7AC80BE3">
      <w:pPr>
        <w:keepNext w:val="0"/>
        <w:keepLines w:val="0"/>
        <w:pageBreakBefore w:val="0"/>
        <w:widowControl w:val="0"/>
        <w:kinsoku/>
        <w:wordWrap/>
        <w:overflowPunct/>
        <w:topLinePunct w:val="0"/>
        <w:autoSpaceDE/>
        <w:autoSpaceDN/>
        <w:bidi w:val="0"/>
        <w:adjustRightInd/>
        <w:snapToGrid/>
        <w:spacing w:line="520" w:lineRule="exact"/>
        <w:textAlignment w:val="auto"/>
        <w:outlineLvl w:val="0"/>
        <w:rPr>
          <w:rFonts w:hint="eastAsia" w:ascii="方正黑体_GBK" w:hAnsi="方正黑体_GBK" w:eastAsia="方正黑体_GBK" w:cs="方正黑体_GBK"/>
          <w:sz w:val="32"/>
          <w:szCs w:val="32"/>
        </w:rPr>
      </w:pPr>
      <w:bookmarkStart w:id="1" w:name="_Toc81"/>
      <w:r>
        <w:rPr>
          <w:rFonts w:hint="eastAsia" w:ascii="方正黑体_GBK" w:hAnsi="方正黑体_GBK" w:eastAsia="方正黑体_GBK" w:cs="方正黑体_GBK"/>
          <w:sz w:val="32"/>
          <w:szCs w:val="32"/>
        </w:rPr>
        <w:t>前言</w:t>
      </w:r>
      <w:bookmarkEnd w:id="1"/>
    </w:p>
    <w:p w14:paraId="775E9B6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i w:val="0"/>
          <w:iCs w:val="0"/>
          <w:caps w:val="0"/>
          <w:spacing w:val="0"/>
          <w:sz w:val="28"/>
          <w:szCs w:val="28"/>
          <w:shd w:val="clear" w:fill="FFFFFF"/>
          <w:lang w:eastAsia="zh-CN"/>
        </w:rPr>
      </w:pPr>
      <w:r>
        <w:rPr>
          <w:rFonts w:hint="eastAsia" w:ascii="方正仿宋_GBK" w:hAnsi="方正仿宋_GBK" w:eastAsia="方正仿宋_GBK" w:cs="方正仿宋_GBK"/>
          <w:i w:val="0"/>
          <w:iCs w:val="0"/>
          <w:caps w:val="0"/>
          <w:spacing w:val="0"/>
          <w:sz w:val="28"/>
          <w:szCs w:val="28"/>
          <w:shd w:val="clear" w:fill="FFFFFF"/>
          <w:lang w:val="en-US" w:eastAsia="zh-CN"/>
        </w:rPr>
        <w:t>为</w:t>
      </w:r>
      <w:r>
        <w:rPr>
          <w:rFonts w:hint="eastAsia" w:ascii="方正仿宋_GBK" w:hAnsi="方正仿宋_GBK" w:eastAsia="方正仿宋_GBK" w:cs="方正仿宋_GBK"/>
          <w:i w:val="0"/>
          <w:iCs w:val="0"/>
          <w:caps w:val="0"/>
          <w:spacing w:val="0"/>
          <w:sz w:val="28"/>
          <w:szCs w:val="28"/>
          <w:shd w:val="clear" w:fill="FFFFFF"/>
        </w:rPr>
        <w:t>全面总结2025学年学校职业教育办学成果、存在问题及发展规划，主动接受政府监管、社会监督和师生评价，为区域职业教育高质量发展提供参考</w:t>
      </w:r>
      <w:r>
        <w:rPr>
          <w:rFonts w:hint="eastAsia" w:ascii="方正仿宋_GBK" w:hAnsi="方正仿宋_GBK" w:eastAsia="方正仿宋_GBK" w:cs="方正仿宋_GBK"/>
          <w:i w:val="0"/>
          <w:iCs w:val="0"/>
          <w:caps w:val="0"/>
          <w:spacing w:val="0"/>
          <w:sz w:val="28"/>
          <w:szCs w:val="28"/>
          <w:shd w:val="clear" w:fill="FFFFFF"/>
          <w:lang w:eastAsia="zh-CN"/>
        </w:rPr>
        <w:t>。</w:t>
      </w:r>
      <w:r>
        <w:rPr>
          <w:rFonts w:hint="eastAsia" w:ascii="方正仿宋_GBK" w:hAnsi="方正仿宋_GBK" w:eastAsia="方正仿宋_GBK" w:cs="方正仿宋_GBK"/>
          <w:sz w:val="28"/>
          <w:szCs w:val="28"/>
          <w:lang w:val="en-US" w:eastAsia="zh-CN"/>
        </w:rPr>
        <w:t>学校</w:t>
      </w:r>
      <w:r>
        <w:rPr>
          <w:rFonts w:hint="eastAsia" w:ascii="方正仿宋_GBK" w:hAnsi="方正仿宋_GBK" w:eastAsia="方正仿宋_GBK" w:cs="方正仿宋_GBK"/>
          <w:i w:val="0"/>
          <w:iCs w:val="0"/>
          <w:caps w:val="0"/>
          <w:spacing w:val="0"/>
          <w:sz w:val="28"/>
          <w:szCs w:val="28"/>
          <w:shd w:val="clear" w:fill="FFFFFF"/>
        </w:rPr>
        <w:t>严格按照《安徽省教育厅关于做好职业教育质量报告（2025年度）编制、发布和报送工作的通知》要求，经各部门数据汇总、专项工作梳理、专家审核修订、校长办公会审议等环节，最终形成本报告。</w:t>
      </w:r>
    </w:p>
    <w:p w14:paraId="4DCBF05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val="en-US" w:eastAsia="zh-CN"/>
        </w:rPr>
        <w:t>学校前身为安徽华夏旅游学校，2</w:t>
      </w:r>
      <w:bookmarkStart w:id="72" w:name="_GoBack"/>
      <w:bookmarkEnd w:id="72"/>
      <w:r>
        <w:rPr>
          <w:rFonts w:hint="eastAsia" w:ascii="方正仿宋_GBK" w:hAnsi="方正仿宋_GBK" w:eastAsia="方正仿宋_GBK" w:cs="方正仿宋_GBK"/>
          <w:sz w:val="28"/>
          <w:szCs w:val="28"/>
          <w:lang w:val="en-US" w:eastAsia="zh-CN"/>
        </w:rPr>
        <w:t>023年8月完成更名，作为省级示范普通中专学校，隶属于安徽文峰教育集团。2025年，学校坚守“育训并举、德技并修、升学与就业并重”的办学理念，聚焦内涵建设，深化产教融合，在人才培养提质、服务贡献升级、文化传承创新等方面取得显著成效。报告数据均来自学校2025年度统计报表及实际办学实践，客观反映学校发展现状，主动接受社会监督，为合肥乃至区域职业教育高质量发展注入持续动力。</w:t>
      </w:r>
    </w:p>
    <w:p w14:paraId="29B1D43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i w:val="0"/>
          <w:iCs w:val="0"/>
          <w:caps w:val="0"/>
          <w:spacing w:val="0"/>
          <w:sz w:val="28"/>
          <w:szCs w:val="28"/>
          <w:shd w:val="clear" w:fill="FFFFFF"/>
        </w:rPr>
      </w:pPr>
      <w:r>
        <w:rPr>
          <w:rFonts w:hint="eastAsia" w:ascii="方正仿宋_GBK" w:hAnsi="方正仿宋_GBK" w:eastAsia="方正仿宋_GBK" w:cs="方正仿宋_GBK"/>
          <w:i w:val="0"/>
          <w:iCs w:val="0"/>
          <w:caps w:val="0"/>
          <w:spacing w:val="0"/>
          <w:sz w:val="28"/>
          <w:szCs w:val="28"/>
          <w:shd w:val="clear" w:fill="FFFFFF"/>
        </w:rPr>
        <w:t>2025年学校核心亮点：一是技能</w:t>
      </w:r>
      <w:r>
        <w:rPr>
          <w:rFonts w:hint="eastAsia" w:ascii="方正仿宋_GBK" w:hAnsi="方正仿宋_GBK" w:eastAsia="方正仿宋_GBK" w:cs="方正仿宋_GBK"/>
          <w:i w:val="0"/>
          <w:iCs w:val="0"/>
          <w:caps w:val="0"/>
          <w:spacing w:val="0"/>
          <w:sz w:val="28"/>
          <w:szCs w:val="28"/>
          <w:shd w:val="clear" w:fill="FFFFFF"/>
          <w:lang w:val="en-US" w:eastAsia="zh-CN"/>
        </w:rPr>
        <w:t>大</w:t>
      </w:r>
      <w:r>
        <w:rPr>
          <w:rFonts w:hint="eastAsia" w:ascii="方正仿宋_GBK" w:hAnsi="方正仿宋_GBK" w:eastAsia="方正仿宋_GBK" w:cs="方正仿宋_GBK"/>
          <w:i w:val="0"/>
          <w:iCs w:val="0"/>
          <w:caps w:val="0"/>
          <w:spacing w:val="0"/>
          <w:sz w:val="28"/>
          <w:szCs w:val="28"/>
          <w:shd w:val="clear" w:fill="FFFFFF"/>
        </w:rPr>
        <w:t>赛实现突破，斩获世界职业院校技能大赛2枚铜牌；二是多元升学通道成效显著，446名毕业生升入高校；三是产教融合深度拓展，与京东共建省级电商实训高地，校企协同育人模式获行业认可；四是文化传承与德育融合，获评肥东县</w:t>
      </w:r>
      <w:r>
        <w:rPr>
          <w:rFonts w:hint="eastAsia" w:ascii="方正仿宋_GBK" w:hAnsi="方正仿宋_GBK" w:eastAsia="方正仿宋_GBK" w:cs="方正仿宋_GBK"/>
          <w:i w:val="0"/>
          <w:iCs w:val="0"/>
          <w:caps w:val="0"/>
          <w:spacing w:val="0"/>
          <w:sz w:val="28"/>
          <w:szCs w:val="28"/>
          <w:shd w:val="clear" w:fill="FFFFFF"/>
          <w:lang w:eastAsia="zh-CN"/>
        </w:rPr>
        <w:t>“</w:t>
      </w:r>
      <w:r>
        <w:rPr>
          <w:rFonts w:hint="eastAsia" w:ascii="方正仿宋_GBK" w:hAnsi="方正仿宋_GBK" w:eastAsia="方正仿宋_GBK" w:cs="方正仿宋_GBK"/>
          <w:i w:val="0"/>
          <w:iCs w:val="0"/>
          <w:caps w:val="0"/>
          <w:spacing w:val="0"/>
          <w:sz w:val="28"/>
          <w:szCs w:val="28"/>
          <w:shd w:val="clear" w:fill="FFFFFF"/>
        </w:rPr>
        <w:t>德育工作先进单位</w:t>
      </w:r>
      <w:r>
        <w:rPr>
          <w:rFonts w:hint="eastAsia" w:ascii="方正仿宋_GBK" w:hAnsi="方正仿宋_GBK" w:eastAsia="方正仿宋_GBK" w:cs="方正仿宋_GBK"/>
          <w:i w:val="0"/>
          <w:iCs w:val="0"/>
          <w:caps w:val="0"/>
          <w:spacing w:val="0"/>
          <w:sz w:val="28"/>
          <w:szCs w:val="28"/>
          <w:shd w:val="clear" w:fill="FFFFFF"/>
          <w:lang w:eastAsia="zh-CN"/>
        </w:rPr>
        <w:t>”</w:t>
      </w:r>
      <w:r>
        <w:rPr>
          <w:rFonts w:hint="eastAsia" w:ascii="方正仿宋_GBK" w:hAnsi="方正仿宋_GBK" w:eastAsia="方正仿宋_GBK" w:cs="方正仿宋_GBK"/>
          <w:i w:val="0"/>
          <w:iCs w:val="0"/>
          <w:caps w:val="0"/>
          <w:spacing w:val="0"/>
          <w:sz w:val="28"/>
          <w:szCs w:val="28"/>
          <w:shd w:val="clear" w:fill="FFFFFF"/>
        </w:rPr>
        <w:t>。</w:t>
      </w:r>
    </w:p>
    <w:p w14:paraId="0FFAC1F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rPr>
        <w:t>本报告公开网址：</w:t>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HYPERLINK "https://www.hxlyxx.com.cn/" \t "https://www.doubao.com/chat/_blank"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https://www.hxlyxx.com.cn/</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sz w:val="28"/>
          <w:szCs w:val="28"/>
        </w:rPr>
        <w:t>，欢迎社会各界查阅监督</w:t>
      </w:r>
      <w:r>
        <w:rPr>
          <w:rFonts w:hint="eastAsia" w:ascii="方正仿宋_GBK" w:hAnsi="方正仿宋_GBK" w:eastAsia="方正仿宋_GBK" w:cs="方正仿宋_GBK"/>
          <w:sz w:val="28"/>
          <w:szCs w:val="28"/>
          <w:lang w:eastAsia="zh-CN"/>
        </w:rPr>
        <w:t>。</w:t>
      </w:r>
    </w:p>
    <w:p w14:paraId="58C93196">
      <w:pPr>
        <w:keepNext w:val="0"/>
        <w:keepLines w:val="0"/>
        <w:pageBreakBefore w:val="0"/>
        <w:widowControl w:val="0"/>
        <w:kinsoku/>
        <w:wordWrap/>
        <w:overflowPunct/>
        <w:topLinePunct w:val="0"/>
        <w:autoSpaceDE/>
        <w:autoSpaceDN/>
        <w:bidi w:val="0"/>
        <w:adjustRightInd/>
        <w:snapToGrid/>
        <w:spacing w:line="520" w:lineRule="exact"/>
        <w:textAlignment w:val="auto"/>
        <w:outlineLvl w:val="0"/>
        <w:rPr>
          <w:rFonts w:hint="eastAsia" w:ascii="方正黑体_GBK" w:hAnsi="方正黑体_GBK" w:eastAsia="方正黑体_GBK" w:cs="方正黑体_GBK"/>
          <w:sz w:val="32"/>
          <w:szCs w:val="32"/>
        </w:rPr>
      </w:pPr>
      <w:bookmarkStart w:id="2" w:name="_Toc24877"/>
      <w:r>
        <w:rPr>
          <w:rFonts w:hint="eastAsia" w:ascii="方正黑体_GBK" w:hAnsi="方正黑体_GBK" w:eastAsia="方正黑体_GBK" w:cs="方正黑体_GBK"/>
          <w:sz w:val="32"/>
          <w:szCs w:val="32"/>
        </w:rPr>
        <w:t>一、基本情况</w:t>
      </w:r>
      <w:bookmarkEnd w:id="2"/>
    </w:p>
    <w:p w14:paraId="39F8E60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2025年，学校在保持办学稳定性的基础上实现提质升级，全日制在校生规模达2110人，专业布局持续优化，师资队伍结构逐步改善，办学条件不断完善，为人才培养和内涵发展提供了坚实支撑。与2024年相比，固定资产总值增长39.81%，双师型教师数量增长144.44%，核心办学指标稳步提升，展现出良好的发展态势。</w:t>
      </w:r>
    </w:p>
    <w:p w14:paraId="09290545">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1"/>
        <w:rPr>
          <w:rFonts w:hint="default" w:ascii="方正仿宋_GBK" w:hAnsi="方正仿宋_GBK" w:eastAsia="方正仿宋_GBK" w:cs="方正仿宋_GBK"/>
          <w:sz w:val="28"/>
          <w:szCs w:val="28"/>
          <w:lang w:val="en-US" w:eastAsia="zh-CN"/>
        </w:rPr>
      </w:pPr>
      <w:bookmarkStart w:id="3" w:name="_Toc18326"/>
      <w:r>
        <w:rPr>
          <w:rFonts w:hint="eastAsia" w:ascii="方正仿宋_GBK" w:hAnsi="方正仿宋_GBK" w:eastAsia="方正仿宋_GBK" w:cs="方正仿宋_GBK"/>
          <w:sz w:val="28"/>
          <w:szCs w:val="28"/>
          <w:lang w:val="en-US" w:eastAsia="zh-CN"/>
        </w:rPr>
        <w:drawing>
          <wp:anchor distT="0" distB="0" distL="114300" distR="114300" simplePos="0" relativeHeight="251663360" behindDoc="0" locked="0" layoutInCell="1" allowOverlap="1">
            <wp:simplePos x="0" y="0"/>
            <wp:positionH relativeFrom="column">
              <wp:posOffset>5080</wp:posOffset>
            </wp:positionH>
            <wp:positionV relativeFrom="paragraph">
              <wp:posOffset>146685</wp:posOffset>
            </wp:positionV>
            <wp:extent cx="5256530" cy="2988310"/>
            <wp:effectExtent l="5080" t="4445" r="15240" b="17145"/>
            <wp:wrapSquare wrapText="bothSides"/>
            <wp:docPr id="7" name="图表 7" descr="7b0a202020202263686172745265734964223a202235303035333432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方正仿宋_GBK" w:hAnsi="方正仿宋_GBK" w:eastAsia="方正仿宋_GBK" w:cs="方正仿宋_GBK"/>
          <w:sz w:val="28"/>
          <w:szCs w:val="28"/>
          <w:lang w:val="en-US" w:eastAsia="zh-CN"/>
        </w:rPr>
        <w:t xml:space="preserve">图1.0  </w:t>
      </w:r>
      <w:r>
        <w:rPr>
          <w:rFonts w:hint="eastAsia" w:ascii="方正仿宋_GBK" w:hAnsi="方正仿宋_GBK" w:eastAsia="方正仿宋_GBK" w:cs="方正仿宋_GBK"/>
          <w:i w:val="0"/>
          <w:iCs w:val="0"/>
          <w:caps w:val="0"/>
          <w:spacing w:val="0"/>
          <w:sz w:val="28"/>
          <w:szCs w:val="28"/>
          <w:shd w:val="clear" w:fill="FFFFFF"/>
        </w:rPr>
        <w:t>2024-2025年核心指标增长柱状图</w:t>
      </w:r>
      <w:bookmarkEnd w:id="3"/>
    </w:p>
    <w:p w14:paraId="36C8182E">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方正楷体_GBK" w:hAnsi="方正楷体_GBK" w:eastAsia="方正楷体_GBK" w:cs="方正楷体_GBK"/>
          <w:sz w:val="28"/>
          <w:szCs w:val="28"/>
        </w:rPr>
      </w:pPr>
      <w:bookmarkStart w:id="4" w:name="_Toc22994"/>
      <w:r>
        <w:rPr>
          <w:rFonts w:hint="eastAsia" w:ascii="方正楷体_GBK" w:hAnsi="方正楷体_GBK" w:eastAsia="方正楷体_GBK" w:cs="方正楷体_GBK"/>
          <w:sz w:val="28"/>
          <w:szCs w:val="28"/>
        </w:rPr>
        <w:t>1.1学校概况</w:t>
      </w:r>
      <w:bookmarkEnd w:id="4"/>
    </w:p>
    <w:p w14:paraId="06217B6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合肥东辰职业学校坐落于安徽省合肥市肥东县撮镇镇瑶岗社区（经度117.448、纬度31.8236），是一所营利性民办中等技术学校，统一社会信用代码为91340122MAD23GFM8G，官网网址为</w:t>
      </w:r>
      <w:r>
        <w:rPr>
          <w:rStyle w:val="14"/>
          <w:rFonts w:hint="eastAsia" w:ascii="方正仿宋_GBK" w:hAnsi="方正仿宋_GBK" w:eastAsia="方正仿宋_GBK" w:cs="方正仿宋_GBK"/>
          <w:b w:val="0"/>
          <w:bCs/>
          <w:sz w:val="28"/>
          <w:szCs w:val="28"/>
          <w:lang w:val="en-US" w:eastAsia="zh-CN"/>
        </w:rPr>
        <w:fldChar w:fldCharType="begin"/>
      </w:r>
      <w:r>
        <w:rPr>
          <w:rStyle w:val="14"/>
          <w:rFonts w:hint="eastAsia" w:ascii="方正仿宋_GBK" w:hAnsi="方正仿宋_GBK" w:eastAsia="方正仿宋_GBK" w:cs="方正仿宋_GBK"/>
          <w:b w:val="0"/>
          <w:bCs/>
          <w:sz w:val="28"/>
          <w:szCs w:val="28"/>
          <w:lang w:val="en-US" w:eastAsia="zh-CN"/>
        </w:rPr>
        <w:instrText xml:space="preserve"> HYPERLINK "https://www.hxlyxx.com.cn/" \t "https://www.doubao.com/chat/_blank" </w:instrText>
      </w:r>
      <w:r>
        <w:rPr>
          <w:rStyle w:val="14"/>
          <w:rFonts w:hint="eastAsia" w:ascii="方正仿宋_GBK" w:hAnsi="方正仿宋_GBK" w:eastAsia="方正仿宋_GBK" w:cs="方正仿宋_GBK"/>
          <w:b w:val="0"/>
          <w:bCs/>
          <w:sz w:val="28"/>
          <w:szCs w:val="28"/>
          <w:lang w:val="en-US" w:eastAsia="zh-CN"/>
        </w:rPr>
        <w:fldChar w:fldCharType="separate"/>
      </w:r>
      <w:r>
        <w:rPr>
          <w:rStyle w:val="14"/>
          <w:rFonts w:hint="eastAsia" w:ascii="方正仿宋_GBK" w:hAnsi="方正仿宋_GBK" w:eastAsia="方正仿宋_GBK" w:cs="方正仿宋_GBK"/>
          <w:b w:val="0"/>
          <w:bCs/>
          <w:sz w:val="28"/>
          <w:szCs w:val="28"/>
        </w:rPr>
        <w:t>https://www.hxlyxx.com.cn/</w:t>
      </w:r>
      <w:r>
        <w:rPr>
          <w:rStyle w:val="14"/>
          <w:rFonts w:hint="eastAsia" w:ascii="方正仿宋_GBK" w:hAnsi="方正仿宋_GBK" w:eastAsia="方正仿宋_GBK" w:cs="方正仿宋_GBK"/>
          <w:b w:val="0"/>
          <w:bCs/>
          <w:sz w:val="28"/>
          <w:szCs w:val="28"/>
          <w:lang w:val="en-US" w:eastAsia="zh-CN"/>
        </w:rPr>
        <w:fldChar w:fldCharType="end"/>
      </w:r>
      <w:r>
        <w:rPr>
          <w:rFonts w:hint="eastAsia" w:ascii="方正仿宋_GBK" w:hAnsi="方正仿宋_GBK" w:eastAsia="方正仿宋_GBK" w:cs="方正仿宋_GBK"/>
          <w:sz w:val="28"/>
          <w:szCs w:val="28"/>
          <w:lang w:val="en-US" w:eastAsia="zh-CN"/>
        </w:rPr>
        <w:t>，联系电话0551-67317333，邮政编码231602，属地管理教育行政部门为安徽省合肥市肥东县教育体育局。学校地理位置优越，区域产业资源丰富，为开展产教融合、校企合作及学生实习就业创造了有利条件。</w:t>
      </w:r>
    </w:p>
    <w:p w14:paraId="2DA603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drawing>
          <wp:inline distT="0" distB="0" distL="114300" distR="114300">
            <wp:extent cx="5212080" cy="3474720"/>
            <wp:effectExtent l="0" t="0" r="7620" b="11430"/>
            <wp:docPr id="27" name="图片 27" descr="鸟瞰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鸟瞰图1"/>
                    <pic:cNvPicPr>
                      <a:picLocks noChangeAspect="1"/>
                    </pic:cNvPicPr>
                  </pic:nvPicPr>
                  <pic:blipFill>
                    <a:blip r:embed="rId9"/>
                    <a:stretch>
                      <a:fillRect/>
                    </a:stretch>
                  </pic:blipFill>
                  <pic:spPr>
                    <a:xfrm>
                      <a:off x="0" y="0"/>
                      <a:ext cx="5212080" cy="3474720"/>
                    </a:xfrm>
                    <a:prstGeom prst="rect">
                      <a:avLst/>
                    </a:prstGeom>
                  </pic:spPr>
                </pic:pic>
              </a:graphicData>
            </a:graphic>
          </wp:inline>
        </w:drawing>
      </w:r>
    </w:p>
    <w:p w14:paraId="50280E69">
      <w:pPr>
        <w:pStyle w:val="10"/>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1"/>
        <w:rPr>
          <w:rFonts w:hint="eastAsia" w:ascii="方正仿宋_GBK" w:hAnsi="方正仿宋_GBK" w:eastAsia="方正仿宋_GBK" w:cs="方正仿宋_GBK"/>
          <w:sz w:val="28"/>
          <w:szCs w:val="36"/>
          <w:lang w:val="en-US" w:eastAsia="zh-CN"/>
        </w:rPr>
      </w:pPr>
      <w:bookmarkStart w:id="5" w:name="_Toc29030"/>
      <w:r>
        <w:rPr>
          <w:rFonts w:hint="eastAsia" w:ascii="方正仿宋_GBK" w:hAnsi="方正仿宋_GBK" w:eastAsia="方正仿宋_GBK" w:cs="方正仿宋_GBK"/>
          <w:sz w:val="28"/>
          <w:szCs w:val="36"/>
          <w:lang w:val="en-US" w:eastAsia="zh-CN"/>
        </w:rPr>
        <w:t>图1.1  学校鸟瞰图</w:t>
      </w:r>
      <w:bookmarkEnd w:id="5"/>
    </w:p>
    <w:p w14:paraId="1B23245F">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方正楷体_GBK" w:hAnsi="方正楷体_GBK" w:eastAsia="方正楷体_GBK" w:cs="方正楷体_GBK"/>
          <w:sz w:val="28"/>
          <w:szCs w:val="28"/>
        </w:rPr>
      </w:pPr>
      <w:bookmarkStart w:id="6" w:name="_Toc9154"/>
      <w:r>
        <w:rPr>
          <w:rFonts w:hint="eastAsia" w:ascii="方正楷体_GBK" w:hAnsi="方正楷体_GBK" w:eastAsia="方正楷体_GBK" w:cs="方正楷体_GBK"/>
          <w:sz w:val="28"/>
          <w:szCs w:val="28"/>
        </w:rPr>
        <w:t>1.2办学规模</w:t>
      </w:r>
      <w:bookmarkEnd w:id="6"/>
    </w:p>
    <w:p w14:paraId="3DA8159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2025学年，学校全日制在校生2110人，其中女生960人，占比45.49%、住宿生2110人，实现全寄宿管理。本年度招生679人，均为应届初中毕业生，生源覆盖安徽、江苏、河南等多个省份，其中安徽省内生源631人，占比92.93%，较2024年的84.16%提升8.77个百分点，</w:t>
      </w:r>
      <w:r>
        <w:rPr>
          <w:rFonts w:hint="eastAsia" w:ascii="方正仿宋_GBK" w:hAnsi="方正仿宋_GBK" w:eastAsia="方正仿宋_GBK" w:cs="方正仿宋_GBK"/>
          <w:i w:val="0"/>
          <w:iCs w:val="0"/>
          <w:caps w:val="0"/>
          <w:spacing w:val="0"/>
          <w:sz w:val="28"/>
          <w:szCs w:val="28"/>
          <w:shd w:val="clear" w:fill="FFFFFF"/>
        </w:rPr>
        <w:t>区域生源集中度优化，更利于对接地方产业人才需求</w:t>
      </w:r>
      <w:r>
        <w:rPr>
          <w:rFonts w:hint="eastAsia" w:ascii="方正仿宋_GBK" w:hAnsi="方正仿宋_GBK" w:eastAsia="方正仿宋_GBK" w:cs="方正仿宋_GBK"/>
          <w:sz w:val="28"/>
          <w:szCs w:val="28"/>
          <w:lang w:val="en-US" w:eastAsia="zh-CN"/>
        </w:rPr>
        <w:t>。在校生年龄以14-17岁为主，其中14岁及以下435人，占比20.62%、15岁682人，占比32.32%、16岁255人，占比12.09%、17岁478人，占比22.65%。2025年毕业生742人，预计2026年毕业生707人，办学规模保持稳定。（</w:t>
      </w:r>
      <w:r>
        <w:rPr>
          <w:rFonts w:hint="eastAsia" w:ascii="方正楷体_GBK" w:hAnsi="方正楷体_GBK" w:eastAsia="方正楷体_GBK" w:cs="方正楷体_GBK"/>
          <w:sz w:val="28"/>
          <w:szCs w:val="28"/>
          <w:lang w:val="en-US" w:eastAsia="zh-CN"/>
        </w:rPr>
        <w:t>数据来源：合肥东辰职业学校2025年度招生就业统计报表。</w:t>
      </w:r>
      <w:r>
        <w:rPr>
          <w:rFonts w:hint="eastAsia" w:ascii="方正仿宋_GBK" w:hAnsi="方正仿宋_GBK" w:eastAsia="方正仿宋_GBK" w:cs="方正仿宋_GBK"/>
          <w:sz w:val="28"/>
          <w:szCs w:val="28"/>
          <w:lang w:val="en-US" w:eastAsia="zh-CN"/>
        </w:rPr>
        <w:t>）</w:t>
      </w:r>
    </w:p>
    <w:p w14:paraId="1F09E646">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1"/>
        <w:rPr>
          <w:rFonts w:hint="default" w:ascii="方正仿宋_GBK" w:hAnsi="方正仿宋_GBK" w:eastAsia="方正仿宋_GBK" w:cs="方正仿宋_GBK"/>
          <w:sz w:val="28"/>
          <w:szCs w:val="28"/>
          <w:lang w:val="en-US" w:eastAsia="zh-CN"/>
        </w:rPr>
      </w:pPr>
      <w:bookmarkStart w:id="7" w:name="_Toc13721"/>
      <w:r>
        <w:rPr>
          <w:rFonts w:hint="eastAsia" w:ascii="方正仿宋_GBK" w:hAnsi="方正仿宋_GBK" w:eastAsia="方正仿宋_GBK" w:cs="方正仿宋_GBK"/>
          <w:sz w:val="28"/>
          <w:szCs w:val="28"/>
          <w:lang w:val="en-US" w:eastAsia="zh-CN"/>
        </w:rPr>
        <w:drawing>
          <wp:anchor distT="0" distB="0" distL="114300" distR="114300" simplePos="0" relativeHeight="251662336" behindDoc="0" locked="0" layoutInCell="1" allowOverlap="1">
            <wp:simplePos x="0" y="0"/>
            <wp:positionH relativeFrom="column">
              <wp:posOffset>14605</wp:posOffset>
            </wp:positionH>
            <wp:positionV relativeFrom="paragraph">
              <wp:posOffset>201295</wp:posOffset>
            </wp:positionV>
            <wp:extent cx="5256530" cy="2988310"/>
            <wp:effectExtent l="5080" t="4445" r="15240" b="17145"/>
            <wp:wrapSquare wrapText="bothSides"/>
            <wp:docPr id="6" name="图表 6" descr="7b0a202020202263686172745265734964223a202232303437363934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方正仿宋_GBK" w:hAnsi="方正仿宋_GBK" w:eastAsia="方正仿宋_GBK" w:cs="方正仿宋_GBK"/>
          <w:sz w:val="28"/>
          <w:szCs w:val="28"/>
          <w:lang w:val="en-US" w:eastAsia="zh-CN"/>
        </w:rPr>
        <w:t xml:space="preserve">图1.2  </w:t>
      </w:r>
      <w:r>
        <w:rPr>
          <w:rFonts w:hint="eastAsia" w:ascii="方正仿宋_GBK" w:hAnsi="方正仿宋_GBK" w:eastAsia="方正仿宋_GBK" w:cs="方正仿宋_GBK"/>
          <w:i w:val="0"/>
          <w:iCs w:val="0"/>
          <w:caps w:val="0"/>
          <w:spacing w:val="0"/>
          <w:sz w:val="28"/>
          <w:szCs w:val="28"/>
          <w:shd w:val="clear" w:fill="FFFFFF"/>
        </w:rPr>
        <w:t>2025年在校生年龄结构饼图</w:t>
      </w:r>
      <w:bookmarkEnd w:id="7"/>
    </w:p>
    <w:p w14:paraId="778CBA5B">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方正楷体_GBK" w:hAnsi="方正楷体_GBK" w:eastAsia="方正楷体_GBK" w:cs="方正楷体_GBK"/>
          <w:sz w:val="28"/>
          <w:szCs w:val="28"/>
        </w:rPr>
      </w:pPr>
      <w:bookmarkStart w:id="8" w:name="_Toc2245"/>
      <w:r>
        <w:rPr>
          <w:rFonts w:hint="eastAsia" w:ascii="方正楷体_GBK" w:hAnsi="方正楷体_GBK" w:eastAsia="方正楷体_GBK" w:cs="方正楷体_GBK"/>
          <w:sz w:val="28"/>
          <w:szCs w:val="28"/>
        </w:rPr>
        <w:t>1.3专业设置</w:t>
      </w:r>
      <w:bookmarkEnd w:id="8"/>
    </w:p>
    <w:p w14:paraId="299525F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学校紧扣市场需求与产业发展趋势，开设14个中等职业教育专业，与2024年保持一致，专业布局涵盖交通运输、电子与信息、财经商贸、文化艺术等多个领域。主要专业包括城市轨道交通运营服务、电子商务、计算机应用、会计事务、舞蹈表演、音乐表演、绘画、机电技术应用、计算机平面设计、社会文化艺术、旅游服务与管理、新能源汽车运用与维修、休闲体育服务与管理、航空服务等。其中社会文化艺术、计算机平面设计、休闲体育服务与管理等专业在校生规模较大，成为学校的优势特色专业集群，新能源汽车运用与维修专业作为新兴特色专业，招生与培养规模逐年扩大。</w:t>
      </w:r>
    </w:p>
    <w:p w14:paraId="4F906AF4">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方正楷体_GBK" w:hAnsi="方正楷体_GBK" w:eastAsia="方正楷体_GBK" w:cs="方正楷体_GBK"/>
          <w:sz w:val="28"/>
          <w:szCs w:val="28"/>
        </w:rPr>
      </w:pPr>
      <w:bookmarkStart w:id="9" w:name="_Toc10972"/>
      <w:r>
        <w:rPr>
          <w:rFonts w:hint="eastAsia" w:ascii="方正楷体_GBK" w:hAnsi="方正楷体_GBK" w:eastAsia="方正楷体_GBK" w:cs="方正楷体_GBK"/>
          <w:sz w:val="28"/>
          <w:szCs w:val="28"/>
        </w:rPr>
        <w:t>1.4师资队伍</w:t>
      </w:r>
      <w:bookmarkEnd w:id="9"/>
    </w:p>
    <w:p w14:paraId="09FFD42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2025年，学校教职工总数203人，较2024年的195人增长4.10%。其中专任教师126人，行政人员9人，教辅人员11人，工勤人员57人，校外教师31人。专任教师中女性78人，占比61.90%、29岁及以下120人，占比95.24%，教师队伍年轻化特征显著。学历结构方面，专任教师以本科为主，共119人，占比94.44%、硕士研究生7人，占比5.56%。职称结构上，副高级3人，中级5人，初级48人，未定职级70人，高职称教师比例有待提升，</w:t>
      </w:r>
      <w:r>
        <w:rPr>
          <w:rFonts w:hint="eastAsia" w:ascii="方正仿宋_GBK" w:hAnsi="方正仿宋_GBK" w:eastAsia="方正仿宋_GBK" w:cs="方正仿宋_GBK"/>
          <w:i w:val="0"/>
          <w:iCs w:val="0"/>
          <w:caps w:val="0"/>
          <w:spacing w:val="0"/>
          <w:sz w:val="28"/>
          <w:szCs w:val="28"/>
          <w:shd w:val="clear" w:fill="FFFFFF"/>
        </w:rPr>
        <w:t>需通过</w:t>
      </w:r>
      <w:r>
        <w:rPr>
          <w:rFonts w:hint="eastAsia" w:ascii="方正仿宋_GBK" w:hAnsi="方正仿宋_GBK" w:eastAsia="方正仿宋_GBK" w:cs="方正仿宋_GBK"/>
          <w:i w:val="0"/>
          <w:iCs w:val="0"/>
          <w:caps w:val="0"/>
          <w:spacing w:val="0"/>
          <w:sz w:val="28"/>
          <w:szCs w:val="28"/>
          <w:shd w:val="clear" w:fill="FFFFFF"/>
          <w:lang w:eastAsia="zh-CN"/>
        </w:rPr>
        <w:t>“</w:t>
      </w:r>
      <w:r>
        <w:rPr>
          <w:rFonts w:hint="eastAsia" w:ascii="方正仿宋_GBK" w:hAnsi="方正仿宋_GBK" w:eastAsia="方正仿宋_GBK" w:cs="方正仿宋_GBK"/>
          <w:i w:val="0"/>
          <w:iCs w:val="0"/>
          <w:caps w:val="0"/>
          <w:spacing w:val="0"/>
          <w:sz w:val="28"/>
          <w:szCs w:val="28"/>
          <w:shd w:val="clear" w:fill="FFFFFF"/>
        </w:rPr>
        <w:t>引育并举</w:t>
      </w:r>
      <w:r>
        <w:rPr>
          <w:rFonts w:hint="eastAsia" w:ascii="方正仿宋_GBK" w:hAnsi="方正仿宋_GBK" w:eastAsia="方正仿宋_GBK" w:cs="方正仿宋_GBK"/>
          <w:i w:val="0"/>
          <w:iCs w:val="0"/>
          <w:caps w:val="0"/>
          <w:spacing w:val="0"/>
          <w:sz w:val="28"/>
          <w:szCs w:val="28"/>
          <w:shd w:val="clear" w:fill="FFFFFF"/>
          <w:lang w:eastAsia="zh-CN"/>
        </w:rPr>
        <w:t>”</w:t>
      </w:r>
      <w:r>
        <w:rPr>
          <w:rFonts w:hint="eastAsia" w:ascii="方正仿宋_GBK" w:hAnsi="方正仿宋_GBK" w:eastAsia="方正仿宋_GBK" w:cs="方正仿宋_GBK"/>
          <w:i w:val="0"/>
          <w:iCs w:val="0"/>
          <w:caps w:val="0"/>
          <w:spacing w:val="0"/>
          <w:sz w:val="28"/>
          <w:szCs w:val="28"/>
          <w:shd w:val="clear" w:fill="FFFFFF"/>
        </w:rPr>
        <w:t>加快师资结构升级</w:t>
      </w:r>
      <w:r>
        <w:rPr>
          <w:rFonts w:hint="eastAsia" w:ascii="方正仿宋_GBK" w:hAnsi="方正仿宋_GBK" w:eastAsia="方正仿宋_GBK" w:cs="方正仿宋_GBK"/>
          <w:sz w:val="28"/>
          <w:szCs w:val="28"/>
          <w:lang w:val="en-US" w:eastAsia="zh-CN"/>
        </w:rPr>
        <w:t>。专任教师教学领域覆盖装备制造、交通运输等多个大类，其中公共基础课教师34人，专业（技能）课程教师92人。（</w:t>
      </w:r>
      <w:r>
        <w:rPr>
          <w:rFonts w:hint="eastAsia" w:ascii="方正楷体_GBK" w:hAnsi="方正楷体_GBK" w:eastAsia="方正楷体_GBK" w:cs="方正楷体_GBK"/>
          <w:sz w:val="28"/>
          <w:szCs w:val="28"/>
          <w:lang w:val="en-US" w:eastAsia="zh-CN"/>
        </w:rPr>
        <w:t>数据来源：合肥东辰职业学校2025年度师资队伍统计报表。</w:t>
      </w:r>
      <w:r>
        <w:rPr>
          <w:rFonts w:hint="eastAsia" w:ascii="方正仿宋_GBK" w:hAnsi="方正仿宋_GBK" w:eastAsia="方正仿宋_GBK" w:cs="方正仿宋_GBK"/>
          <w:sz w:val="28"/>
          <w:szCs w:val="28"/>
          <w:lang w:val="en-US" w:eastAsia="zh-CN"/>
        </w:rPr>
        <w:t>）</w:t>
      </w:r>
    </w:p>
    <w:p w14:paraId="4D6EC542">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方正楷体_GBK" w:hAnsi="方正楷体_GBK" w:eastAsia="方正楷体_GBK" w:cs="方正楷体_GBK"/>
          <w:sz w:val="28"/>
          <w:szCs w:val="28"/>
        </w:rPr>
      </w:pPr>
      <w:bookmarkStart w:id="10" w:name="_Toc4277"/>
      <w:r>
        <w:rPr>
          <w:rFonts w:hint="eastAsia" w:ascii="方正楷体_GBK" w:hAnsi="方正楷体_GBK" w:eastAsia="方正楷体_GBK" w:cs="方正楷体_GBK"/>
          <w:sz w:val="28"/>
          <w:szCs w:val="28"/>
        </w:rPr>
        <w:t>1.5办学条件</w:t>
      </w:r>
      <w:bookmarkEnd w:id="10"/>
    </w:p>
    <w:p w14:paraId="6F843E0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学校占地面积76670平方米，其中绿化用地面积25301平方米，运动场地面积14900平方米，建有1个11人制足球场，为学生提供了良好的运动环境。校舍建筑面积31520平方米，其中教学及辅助用房11440平方米（含普通教室9930平方米、基础课实验室650平方米、实训用房650平方米、图书阅览室210平方米），行政办公用房600平方米，生活用房19480平方米（含学生宿舍18100平方米、食堂1380平方米）。教学科研实习仪器设备资产值699.80万元，2025年新增120万元，较2024年的579.80万元增长20.70%、拥有图书30000册，电子图书100000册，图书总量达130000册，与2024年持平、数字终端970台，其中教师终端190台、学生终端680台、网络多媒体教室65间，实现无线网全覆盖。校外实习实训场所13个，能充分满足各专业实训教学需求。（</w:t>
      </w:r>
      <w:r>
        <w:rPr>
          <w:rFonts w:hint="eastAsia" w:ascii="方正楷体_GBK" w:hAnsi="方正楷体_GBK" w:eastAsia="方正楷体_GBK" w:cs="方正楷体_GBK"/>
          <w:sz w:val="28"/>
          <w:szCs w:val="28"/>
          <w:lang w:val="en-US" w:eastAsia="zh-CN"/>
        </w:rPr>
        <w:t>数据来源：合肥东辰职业学校2025年度办学条件统计报表</w:t>
      </w:r>
      <w:r>
        <w:rPr>
          <w:rFonts w:hint="eastAsia" w:ascii="方正仿宋_GBK" w:hAnsi="方正仿宋_GBK" w:eastAsia="方正仿宋_GBK" w:cs="方正仿宋_GBK"/>
          <w:sz w:val="28"/>
          <w:szCs w:val="28"/>
          <w:lang w:val="en-US" w:eastAsia="zh-CN"/>
        </w:rPr>
        <w:t>）</w:t>
      </w:r>
    </w:p>
    <w:p w14:paraId="10B285CA">
      <w:pPr>
        <w:keepNext w:val="0"/>
        <w:keepLines w:val="0"/>
        <w:pageBreakBefore w:val="0"/>
        <w:widowControl w:val="0"/>
        <w:kinsoku/>
        <w:wordWrap/>
        <w:overflowPunct/>
        <w:topLinePunct w:val="0"/>
        <w:autoSpaceDE/>
        <w:autoSpaceDN/>
        <w:bidi w:val="0"/>
        <w:adjustRightInd/>
        <w:snapToGrid/>
        <w:spacing w:line="520" w:lineRule="exact"/>
        <w:textAlignment w:val="auto"/>
        <w:outlineLvl w:val="0"/>
        <w:rPr>
          <w:rFonts w:hint="eastAsia" w:ascii="方正黑体_GBK" w:hAnsi="方正黑体_GBK" w:eastAsia="方正黑体_GBK" w:cs="方正黑体_GBK"/>
          <w:sz w:val="28"/>
          <w:szCs w:val="28"/>
        </w:rPr>
      </w:pPr>
      <w:bookmarkStart w:id="11" w:name="_Toc24062"/>
      <w:r>
        <w:rPr>
          <w:rFonts w:hint="eastAsia" w:ascii="方正黑体_GBK" w:hAnsi="方正黑体_GBK" w:eastAsia="方正黑体_GBK" w:cs="方正黑体_GBK"/>
          <w:sz w:val="28"/>
          <w:szCs w:val="28"/>
        </w:rPr>
        <w:t>二、人才培养</w:t>
      </w:r>
      <w:bookmarkEnd w:id="11"/>
    </w:p>
    <w:p w14:paraId="194D2EF7">
      <w:pPr>
        <w:keepNext w:val="0"/>
        <w:keepLines w:val="0"/>
        <w:pageBreakBefore w:val="0"/>
        <w:widowControl/>
        <w:suppressLineNumbers w:val="0"/>
        <w:kinsoku/>
        <w:wordWrap/>
        <w:overflowPunct/>
        <w:topLinePunct w:val="0"/>
        <w:autoSpaceDE/>
        <w:autoSpaceDN/>
        <w:bidi w:val="0"/>
        <w:adjustRightInd/>
        <w:snapToGrid/>
        <w:spacing w:line="520" w:lineRule="exact"/>
        <w:ind w:firstLine="560" w:firstLineChars="20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学校坚持以学生全面发展为核心，构建“三全育人”格局，深化教学改革，完善“岗课赛证训”一体化培养体系，兼顾升学与就业双重需求。2025年，国家学生体质健康测试达标率100%。</w:t>
      </w:r>
      <w:r>
        <w:rPr>
          <w:rFonts w:hint="eastAsia" w:ascii="方正仿宋_GBK" w:hAnsi="方正仿宋_GBK" w:eastAsia="方正仿宋_GBK" w:cs="方正仿宋_GBK"/>
          <w:sz w:val="28"/>
          <w:szCs w:val="28"/>
        </w:rPr>
        <w:t>在2024-2025年度安徽省职业院校技能大赛（中职组）中，</w:t>
      </w:r>
      <w:r>
        <w:rPr>
          <w:rFonts w:hint="eastAsia" w:ascii="方正仿宋_GBK" w:hAnsi="方正仿宋_GBK" w:eastAsia="方正仿宋_GBK" w:cs="方正仿宋_GBK"/>
          <w:sz w:val="28"/>
          <w:szCs w:val="28"/>
          <w:lang w:val="en-US" w:eastAsia="zh-CN"/>
        </w:rPr>
        <w:t>学</w:t>
      </w:r>
      <w:r>
        <w:rPr>
          <w:rFonts w:hint="eastAsia" w:ascii="方正仿宋_GBK" w:hAnsi="方正仿宋_GBK" w:eastAsia="方正仿宋_GBK" w:cs="方正仿宋_GBK"/>
          <w:sz w:val="28"/>
          <w:szCs w:val="28"/>
        </w:rPr>
        <w:t>校参赛28个赛项，27个赛项获奖，荣获一等奖6个、二等奖13个、三等奖8个，总积分位列安徽省第五、合肥市第二。</w:t>
      </w:r>
      <w:r>
        <w:rPr>
          <w:rFonts w:hint="eastAsia" w:ascii="方正仿宋_GBK" w:hAnsi="方正仿宋_GBK" w:eastAsia="方正仿宋_GBK" w:cs="方正仿宋_GBK"/>
          <w:sz w:val="28"/>
          <w:szCs w:val="28"/>
          <w:lang w:val="en-US" w:eastAsia="zh-CN"/>
        </w:rPr>
        <w:t>在2025年世界职业院校技能大赛中，斩获“新一代信息技术”赛道和“轨道交通运输”赛道铜牌。2025年合肥市中职学校技能大赛中，斩获一等奖8项、二等奖6项、三等奖11项的优异成绩。</w:t>
      </w:r>
    </w:p>
    <w:p w14:paraId="39FB36D7">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方正楷体_GBK" w:hAnsi="方正楷体_GBK" w:eastAsia="方正楷体_GBK" w:cs="方正楷体_GBK"/>
          <w:sz w:val="28"/>
          <w:szCs w:val="28"/>
        </w:rPr>
      </w:pPr>
      <w:bookmarkStart w:id="12" w:name="_Toc4121"/>
      <w:r>
        <w:rPr>
          <w:rFonts w:hint="eastAsia" w:ascii="方正楷体_GBK" w:hAnsi="方正楷体_GBK" w:eastAsia="方正楷体_GBK" w:cs="方正楷体_GBK"/>
          <w:sz w:val="28"/>
          <w:szCs w:val="28"/>
        </w:rPr>
        <w:t>2.1立德树人</w:t>
      </w:r>
      <w:bookmarkEnd w:id="12"/>
    </w:p>
    <w:p w14:paraId="4A2B825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学校坚持“三全育人”理念，构建系统化思政教育体系，推进课程思政与五育深度融合，将思政教育全面融入日常教学与管理全过程。通过团学组织开展丰富的主题活动，强化学生思想道德修养。2025学年，在校生中共青团员207人，其中女生98人，占比47.34%，较2024年的245人有所调整，团员队伍结构更趋合理。学校配备2名专职心理咨询工作人员，建立常态化心理健康教育机制，为学生身心健康保驾护航。</w:t>
      </w:r>
    </w:p>
    <w:p w14:paraId="521B172D">
      <w:pPr>
        <w:pStyle w:val="3"/>
        <w:keepNext w:val="0"/>
        <w:keepLines w:val="0"/>
        <w:pageBreakBefore w:val="0"/>
        <w:widowControl w:val="0"/>
        <w:kinsoku/>
        <w:wordWrap/>
        <w:overflowPunct/>
        <w:topLinePunct w:val="0"/>
        <w:autoSpaceDE/>
        <w:autoSpaceDN/>
        <w:bidi w:val="0"/>
        <w:adjustRightInd/>
        <w:snapToGrid/>
        <w:spacing w:beforeAutospacing="0" w:afterAutospacing="0" w:line="520" w:lineRule="exact"/>
        <w:textAlignment w:val="auto"/>
        <w:rPr>
          <w:rFonts w:hint="eastAsia" w:ascii="方正黑体_GBK" w:hAnsi="方正黑体_GBK" w:eastAsia="方正黑体_GBK" w:cs="方正黑体_GBK"/>
          <w:sz w:val="28"/>
          <w:szCs w:val="28"/>
          <w:lang w:val="en-US" w:eastAsia="zh-CN"/>
        </w:rPr>
      </w:pPr>
      <w:bookmarkStart w:id="13" w:name="_Toc10385"/>
      <w:r>
        <w:rPr>
          <w:rFonts w:hint="eastAsia" w:ascii="方正黑体_GBK" w:hAnsi="方正黑体_GBK" w:eastAsia="方正黑体_GBK" w:cs="方正黑体_GBK"/>
          <w:sz w:val="28"/>
          <w:szCs w:val="28"/>
          <w:lang w:val="en-US" w:eastAsia="zh-CN"/>
        </w:rPr>
        <w:t>案例1：“思政+实践”双轮驱动筑牢德育根基</w:t>
      </w:r>
      <w:bookmarkEnd w:id="13"/>
    </w:p>
    <w:p w14:paraId="00E7870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针对中职学生思想引领需求，学校立足区域红色资源优势，破解思政教育“理论化、单一化”难题。构建“理论学习+实践体验”的思政育人体系，将思政元素全面融入各专业课程教学、组织学生前往瑶岗渡江战役总前委旧址纪念馆等红色教育基地开展实践活动4次，参与学生800余人次、开展“红色故事分享会”“思政主题班会”等活动20余场，实现思政教育全覆盖。学生思想道德素养显著提升，学校获评肥东县“德育工作先进单位”。红色资源是思政教育的宝贵财富，“思政+实践”模式能有效增强教育实效性。该模式已在各年级、各专业全面推广，未来将进一步拓展红色教育实践基地。</w:t>
      </w:r>
    </w:p>
    <w:p w14:paraId="2F48E6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drawing>
          <wp:inline distT="0" distB="0" distL="114300" distR="114300">
            <wp:extent cx="5266690" cy="2926080"/>
            <wp:effectExtent l="0" t="0" r="0" b="0"/>
            <wp:docPr id="13" name="图片 13" descr="微信图片_2025-12-11_083059_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微信图片_2025-12-11_083059_364"/>
                    <pic:cNvPicPr>
                      <a:picLocks noChangeAspect="1"/>
                    </pic:cNvPicPr>
                  </pic:nvPicPr>
                  <pic:blipFill>
                    <a:blip r:embed="rId11"/>
                    <a:srcRect t="17216" b="8712"/>
                    <a:stretch>
                      <a:fillRect/>
                    </a:stretch>
                  </pic:blipFill>
                  <pic:spPr>
                    <a:xfrm>
                      <a:off x="0" y="0"/>
                      <a:ext cx="5266690" cy="2926080"/>
                    </a:xfrm>
                    <a:prstGeom prst="rect">
                      <a:avLst/>
                    </a:prstGeom>
                  </pic:spPr>
                </pic:pic>
              </a:graphicData>
            </a:graphic>
          </wp:inline>
        </w:drawing>
      </w:r>
    </w:p>
    <w:p w14:paraId="2E4869AF">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1"/>
        <w:rPr>
          <w:rFonts w:hint="default" w:ascii="方正仿宋_GBK" w:hAnsi="方正仿宋_GBK" w:eastAsia="方正仿宋_GBK" w:cs="方正仿宋_GBK"/>
          <w:sz w:val="28"/>
          <w:szCs w:val="28"/>
          <w:lang w:val="en-US"/>
        </w:rPr>
      </w:pPr>
      <w:bookmarkStart w:id="14" w:name="_Toc7357"/>
      <w:r>
        <w:rPr>
          <w:rFonts w:hint="eastAsia" w:ascii="方正仿宋_GBK" w:hAnsi="方正仿宋_GBK" w:eastAsia="方正仿宋_GBK" w:cs="方正仿宋_GBK"/>
          <w:sz w:val="28"/>
          <w:szCs w:val="28"/>
          <w:lang w:val="en-US" w:eastAsia="zh-CN"/>
        </w:rPr>
        <w:t>图2.1  组织学生参观瑶岗渡江战役总前委旧址纪念馆</w:t>
      </w:r>
      <w:bookmarkEnd w:id="14"/>
    </w:p>
    <w:p w14:paraId="5362ED80">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方正楷体_GBK" w:hAnsi="方正楷体_GBK" w:eastAsia="方正楷体_GBK" w:cs="方正楷体_GBK"/>
          <w:sz w:val="28"/>
          <w:szCs w:val="28"/>
        </w:rPr>
      </w:pPr>
      <w:bookmarkStart w:id="15" w:name="_Toc27058"/>
      <w:r>
        <w:rPr>
          <w:rFonts w:hint="eastAsia" w:ascii="方正楷体_GBK" w:hAnsi="方正楷体_GBK" w:eastAsia="方正楷体_GBK" w:cs="方正楷体_GBK"/>
          <w:sz w:val="28"/>
          <w:szCs w:val="28"/>
        </w:rPr>
        <w:t>2.2多样成才</w:t>
      </w:r>
      <w:bookmarkEnd w:id="15"/>
    </w:p>
    <w:p w14:paraId="539C269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学校完善多样化人才培养路径，充分兼顾学生升学与就业双重需求，专门组建对口升学教学部，制定个性化培养方案。生源以普通初中毕业生为主，通过分类培养、分层教学，满足不同学生发展诉求。2025年，学校679名全日制新生中，部分学生通过普通高考、艺体高考、对口升学、分类考试等多种途径提升学历，升学通道持续畅通，为学生实现多元成才提供了广阔平台。</w:t>
      </w:r>
    </w:p>
    <w:p w14:paraId="2CDF1C31">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方正仿宋_GBK" w:hAnsi="方正仿宋_GBK" w:eastAsia="方正仿宋_GBK" w:cs="方正仿宋_GBK"/>
          <w:sz w:val="28"/>
          <w:szCs w:val="28"/>
          <w:lang w:val="en-US" w:eastAsia="zh-CN"/>
        </w:rPr>
      </w:pPr>
      <w:bookmarkStart w:id="16" w:name="_Toc8155"/>
      <w:r>
        <w:rPr>
          <w:rFonts w:hint="eastAsia" w:ascii="方正黑体_GBK" w:hAnsi="方正黑体_GBK" w:eastAsia="方正黑体_GBK" w:cs="方正黑体_GBK"/>
          <w:sz w:val="28"/>
          <w:szCs w:val="28"/>
          <w:lang w:val="en-US" w:eastAsia="zh-CN"/>
        </w:rPr>
        <w:t>案例2：多元升学通道助力学子圆梦高校</w:t>
      </w:r>
      <w:bookmarkEnd w:id="16"/>
    </w:p>
    <w:p w14:paraId="4579A20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为响应学生学历提升诉求，为学生职业发展提供更宽、更高的平台。学校构建了“对口升学+普通高考+艺体高考+分类考试”四位一体升学通道，组建专业升学教学团队，编写针对性备考教材、开设升学冲刺班，实行“基础强化+专项训练+模拟演练”的备考模式、定期邀请高校专家开展升学指导讲座。2025年，学校共有446名毕业生通过各类升学考试进入高等院校深造，其中347名学生考入本科院校。精准对接学生需求，构建多元升学体系是提升升学质量的关键。</w:t>
      </w:r>
    </w:p>
    <w:p w14:paraId="4AC552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drawing>
          <wp:inline distT="0" distB="0" distL="114300" distR="114300">
            <wp:extent cx="5266690" cy="3102610"/>
            <wp:effectExtent l="0" t="0" r="0" b="0"/>
            <wp:docPr id="14" name="图片 14" descr="韦筱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韦筱蝶"/>
                    <pic:cNvPicPr>
                      <a:picLocks noChangeAspect="1"/>
                    </pic:cNvPicPr>
                  </pic:nvPicPr>
                  <pic:blipFill>
                    <a:blip r:embed="rId12"/>
                    <a:srcRect t="7398" b="15863"/>
                    <a:stretch>
                      <a:fillRect/>
                    </a:stretch>
                  </pic:blipFill>
                  <pic:spPr>
                    <a:xfrm>
                      <a:off x="0" y="0"/>
                      <a:ext cx="5266690" cy="3102610"/>
                    </a:xfrm>
                    <a:prstGeom prst="rect">
                      <a:avLst/>
                    </a:prstGeom>
                  </pic:spPr>
                </pic:pic>
              </a:graphicData>
            </a:graphic>
          </wp:inline>
        </w:drawing>
      </w:r>
    </w:p>
    <w:p w14:paraId="39729CB9">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1"/>
        <w:rPr>
          <w:rFonts w:hint="eastAsia" w:ascii="方正仿宋_GBK" w:hAnsi="方正仿宋_GBK" w:eastAsia="方正仿宋_GBK" w:cs="方正仿宋_GBK"/>
          <w:sz w:val="28"/>
          <w:szCs w:val="28"/>
          <w:lang w:val="en-US" w:eastAsia="zh-CN"/>
        </w:rPr>
      </w:pPr>
      <w:bookmarkStart w:id="17" w:name="_Toc6645"/>
      <w:r>
        <w:rPr>
          <w:rFonts w:hint="eastAsia" w:ascii="方正仿宋_GBK" w:hAnsi="方正仿宋_GBK" w:eastAsia="方正仿宋_GBK" w:cs="方正仿宋_GBK"/>
          <w:sz w:val="28"/>
          <w:szCs w:val="28"/>
          <w:lang w:val="en-US" w:eastAsia="zh-CN"/>
        </w:rPr>
        <w:t>图2.2-1  2025届毕业生韦筱蝶通过对口高考升入安徽艺术学院</w:t>
      </w:r>
      <w:bookmarkEnd w:id="17"/>
    </w:p>
    <w:p w14:paraId="23917E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方正仿宋_GBK" w:hAnsi="方正仿宋_GBK" w:eastAsia="方正仿宋_GBK" w:cs="方正仿宋_GBK"/>
          <w:sz w:val="28"/>
          <w:szCs w:val="28"/>
          <w:lang w:val="en-US" w:eastAsia="zh-CN"/>
        </w:rPr>
      </w:pPr>
      <w:r>
        <w:rPr>
          <w:rFonts w:hint="default" w:ascii="方正仿宋_GBK" w:hAnsi="方正仿宋_GBK" w:eastAsia="方正仿宋_GBK" w:cs="方正仿宋_GBK"/>
          <w:sz w:val="28"/>
          <w:szCs w:val="28"/>
          <w:lang w:val="en-US" w:eastAsia="zh-CN"/>
        </w:rPr>
        <w:drawing>
          <wp:inline distT="0" distB="0" distL="114300" distR="114300">
            <wp:extent cx="5266690" cy="2829560"/>
            <wp:effectExtent l="0" t="0" r="0" b="0"/>
            <wp:docPr id="25" name="图片 25" descr="微信图片_2025-12-22_142317_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微信图片_2025-12-22_142317_901"/>
                    <pic:cNvPicPr>
                      <a:picLocks noChangeAspect="1"/>
                    </pic:cNvPicPr>
                  </pic:nvPicPr>
                  <pic:blipFill>
                    <a:blip r:embed="rId13"/>
                    <a:srcRect t="22705" b="41480"/>
                    <a:stretch>
                      <a:fillRect/>
                    </a:stretch>
                  </pic:blipFill>
                  <pic:spPr>
                    <a:xfrm>
                      <a:off x="0" y="0"/>
                      <a:ext cx="5266690" cy="2829560"/>
                    </a:xfrm>
                    <a:prstGeom prst="rect">
                      <a:avLst/>
                    </a:prstGeom>
                  </pic:spPr>
                </pic:pic>
              </a:graphicData>
            </a:graphic>
          </wp:inline>
        </w:drawing>
      </w:r>
    </w:p>
    <w:p w14:paraId="4E51A950">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1"/>
        <w:rPr>
          <w:rFonts w:hint="default" w:ascii="方正仿宋_GBK" w:hAnsi="方正仿宋_GBK" w:eastAsia="方正仿宋_GBK" w:cs="方正仿宋_GBK"/>
          <w:sz w:val="28"/>
          <w:szCs w:val="28"/>
          <w:lang w:val="en-US" w:eastAsia="zh-CN"/>
        </w:rPr>
      </w:pPr>
      <w:bookmarkStart w:id="18" w:name="_Toc15065"/>
      <w:r>
        <w:rPr>
          <w:rFonts w:hint="eastAsia" w:ascii="方正仿宋_GBK" w:hAnsi="方正仿宋_GBK" w:eastAsia="方正仿宋_GBK" w:cs="方正仿宋_GBK"/>
          <w:sz w:val="28"/>
          <w:szCs w:val="28"/>
          <w:lang w:val="en-US" w:eastAsia="zh-CN"/>
        </w:rPr>
        <w:t>图2.2-2  2025届毕业生张雅柔自主参加艺术类高考升入中南大学</w:t>
      </w:r>
      <w:bookmarkEnd w:id="18"/>
    </w:p>
    <w:p w14:paraId="659C9E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方正仿宋_GBK" w:hAnsi="方正仿宋_GBK" w:eastAsia="方正仿宋_GBK" w:cs="方正仿宋_GBK"/>
          <w:sz w:val="28"/>
          <w:szCs w:val="28"/>
          <w:lang w:val="en-US" w:eastAsia="zh-CN"/>
        </w:rPr>
      </w:pPr>
      <w:r>
        <w:rPr>
          <w:rFonts w:hint="default" w:ascii="方正仿宋_GBK" w:hAnsi="方正仿宋_GBK" w:eastAsia="方正仿宋_GBK" w:cs="方正仿宋_GBK"/>
          <w:sz w:val="28"/>
          <w:szCs w:val="28"/>
          <w:lang w:val="en-US" w:eastAsia="zh-CN"/>
        </w:rPr>
        <w:drawing>
          <wp:inline distT="0" distB="0" distL="114300" distR="114300">
            <wp:extent cx="5266690" cy="3103880"/>
            <wp:effectExtent l="0" t="0" r="0" b="0"/>
            <wp:docPr id="26" name="图片 26" descr="微信图片_2025-12-22_142256_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微信图片_2025-12-22_142256_054"/>
                    <pic:cNvPicPr>
                      <a:picLocks noChangeAspect="1"/>
                    </pic:cNvPicPr>
                  </pic:nvPicPr>
                  <pic:blipFill>
                    <a:blip r:embed="rId14"/>
                    <a:srcRect t="10520" b="50169"/>
                    <a:stretch>
                      <a:fillRect/>
                    </a:stretch>
                  </pic:blipFill>
                  <pic:spPr>
                    <a:xfrm>
                      <a:off x="0" y="0"/>
                      <a:ext cx="5266690" cy="3103880"/>
                    </a:xfrm>
                    <a:prstGeom prst="rect">
                      <a:avLst/>
                    </a:prstGeom>
                  </pic:spPr>
                </pic:pic>
              </a:graphicData>
            </a:graphic>
          </wp:inline>
        </w:drawing>
      </w:r>
    </w:p>
    <w:p w14:paraId="413F7666">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1"/>
        <w:rPr>
          <w:rFonts w:hint="default" w:ascii="方正仿宋_GBK" w:hAnsi="方正仿宋_GBK" w:eastAsia="方正仿宋_GBK" w:cs="方正仿宋_GBK"/>
          <w:sz w:val="28"/>
          <w:szCs w:val="28"/>
          <w:lang w:val="en-US" w:eastAsia="zh-CN"/>
        </w:rPr>
      </w:pPr>
      <w:bookmarkStart w:id="19" w:name="_Toc15301"/>
      <w:r>
        <w:rPr>
          <w:rFonts w:hint="eastAsia" w:ascii="方正仿宋_GBK" w:hAnsi="方正仿宋_GBK" w:eastAsia="方正仿宋_GBK" w:cs="方正仿宋_GBK"/>
          <w:sz w:val="28"/>
          <w:szCs w:val="28"/>
          <w:lang w:val="en-US" w:eastAsia="zh-CN"/>
        </w:rPr>
        <w:t>图2.2-3  2025届毕业生陆圣阳自主参加体育高考升入安徽师范大学</w:t>
      </w:r>
      <w:bookmarkEnd w:id="19"/>
    </w:p>
    <w:p w14:paraId="5C297147">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方正楷体_GBK" w:hAnsi="方正楷体_GBK" w:eastAsia="方正楷体_GBK" w:cs="方正楷体_GBK"/>
          <w:sz w:val="28"/>
          <w:szCs w:val="28"/>
        </w:rPr>
      </w:pPr>
      <w:bookmarkStart w:id="20" w:name="_Toc6823"/>
      <w:r>
        <w:rPr>
          <w:rFonts w:hint="eastAsia" w:ascii="方正楷体_GBK" w:hAnsi="方正楷体_GBK" w:eastAsia="方正楷体_GBK" w:cs="方正楷体_GBK"/>
          <w:sz w:val="28"/>
          <w:szCs w:val="28"/>
        </w:rPr>
        <w:t>2.3教学改革</w:t>
      </w:r>
      <w:bookmarkEnd w:id="20"/>
    </w:p>
    <w:p w14:paraId="3B282B0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学校深化教学改革，推进教法、教材创新，将信息化技术全面融入教育教学全过程，打造线上线下融合的混合式教学模式。建设开放（精品）课程资源库，优化课堂教学结构，提升课堂教学满意度。2025学年，学校严格落实首席信息官（CIO）制度，数字化技术广泛应用于教学与管理各环节，有效提升了教学效率。各专业依据行业岗位需求动态优化课程设置，强化实践教学环节，确保教学内容与岗位标准精准衔接，教学改革成效逐步显现。</w:t>
      </w:r>
    </w:p>
    <w:p w14:paraId="7D0FCBD9">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方正楷体_GBK" w:hAnsi="方正楷体_GBK" w:eastAsia="方正楷体_GBK" w:cs="方正楷体_GBK"/>
          <w:sz w:val="28"/>
          <w:szCs w:val="28"/>
        </w:rPr>
      </w:pPr>
      <w:bookmarkStart w:id="21" w:name="_Toc29630"/>
      <w:r>
        <w:rPr>
          <w:rFonts w:hint="eastAsia" w:ascii="方正楷体_GBK" w:hAnsi="方正楷体_GBK" w:eastAsia="方正楷体_GBK" w:cs="方正楷体_GBK"/>
          <w:sz w:val="28"/>
          <w:szCs w:val="28"/>
        </w:rPr>
        <w:t>2.4技能成长</w:t>
      </w:r>
      <w:bookmarkEnd w:id="21"/>
    </w:p>
    <w:p w14:paraId="3019926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学校构建“岗课赛证训”一体化培养体系，坚持以赛促教、以赛促学、以赛促改、以赛促建。积极组织学生参与各级职业技能竞赛，在城市轨道交通运营管理、网络安全、电子商务等领域取得优异成绩。同时，推进专创融合与育训结合，开展创新创业教育与职业素养养成教育，全面提升学生综合技能。</w:t>
      </w:r>
    </w:p>
    <w:p w14:paraId="7146D6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drawing>
          <wp:inline distT="0" distB="0" distL="114300" distR="114300">
            <wp:extent cx="5265420" cy="2968625"/>
            <wp:effectExtent l="0" t="0" r="11430" b="3175"/>
            <wp:docPr id="15" name="图片 15" descr="城轨实训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城轨实训2"/>
                    <pic:cNvPicPr>
                      <a:picLocks noChangeAspect="1"/>
                    </pic:cNvPicPr>
                  </pic:nvPicPr>
                  <pic:blipFill>
                    <a:blip r:embed="rId15"/>
                    <a:stretch>
                      <a:fillRect/>
                    </a:stretch>
                  </pic:blipFill>
                  <pic:spPr>
                    <a:xfrm>
                      <a:off x="0" y="0"/>
                      <a:ext cx="5265420" cy="2968625"/>
                    </a:xfrm>
                    <a:prstGeom prst="rect">
                      <a:avLst/>
                    </a:prstGeom>
                  </pic:spPr>
                </pic:pic>
              </a:graphicData>
            </a:graphic>
          </wp:inline>
        </w:drawing>
      </w:r>
    </w:p>
    <w:p w14:paraId="4D32FF8F">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1"/>
        <w:rPr>
          <w:rFonts w:hint="default" w:ascii="方正仿宋_GBK" w:hAnsi="方正仿宋_GBK" w:eastAsia="方正仿宋_GBK" w:cs="方正仿宋_GBK"/>
          <w:sz w:val="28"/>
          <w:szCs w:val="28"/>
          <w:lang w:val="en-US" w:eastAsia="zh-CN"/>
        </w:rPr>
      </w:pPr>
      <w:bookmarkStart w:id="22" w:name="_Toc30519"/>
      <w:r>
        <w:rPr>
          <w:rFonts w:hint="eastAsia" w:ascii="方正仿宋_GBK" w:hAnsi="方正仿宋_GBK" w:eastAsia="方正仿宋_GBK" w:cs="方正仿宋_GBK"/>
          <w:sz w:val="28"/>
          <w:szCs w:val="28"/>
          <w:lang w:val="en-US" w:eastAsia="zh-CN"/>
        </w:rPr>
        <w:t>图2.4-1  城市轨道交通运营管理专业学生在技能大赛实训基地训练</w:t>
      </w:r>
      <w:bookmarkEnd w:id="22"/>
    </w:p>
    <w:p w14:paraId="4F1752D9">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方正黑体_GBK" w:hAnsi="方正黑体_GBK" w:eastAsia="方正黑体_GBK" w:cs="方正黑体_GBK"/>
          <w:sz w:val="28"/>
          <w:szCs w:val="28"/>
          <w:lang w:val="en-US" w:eastAsia="zh-CN"/>
        </w:rPr>
      </w:pPr>
      <w:bookmarkStart w:id="23" w:name="_Toc12481"/>
      <w:r>
        <w:rPr>
          <w:rFonts w:hint="eastAsia" w:ascii="方正黑体_GBK" w:hAnsi="方正黑体_GBK" w:eastAsia="方正黑体_GBK" w:cs="方正黑体_GBK"/>
          <w:sz w:val="28"/>
          <w:szCs w:val="28"/>
          <w:lang w:val="en-US" w:eastAsia="zh-CN"/>
        </w:rPr>
        <w:t>案例3：技能竞赛赋能斩获国际赛事佳绩</w:t>
      </w:r>
      <w:bookmarkEnd w:id="23"/>
    </w:p>
    <w:p w14:paraId="71A75CD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聚焦技能人才培养核心目标，以技能竞赛为抓手，提升学生专业技能水平。建立“校赛-市赛-省赛-国赛-国际赛”五级竞赛选拔体系，组建专业竞赛指导团队，制定专项训练方案、将竞赛标准融入日常教学，开设竞赛特色课程，建设竞赛实训场地、定期开展竞赛成果展示活动，营造“比学赶超”的技能氛围。2025年，学校在市级及以上技能竞赛中获奖15项，其中在2025年世界职业院校技能大赛中，钱雨彤、徐凌曦、何君鹏组成的团队斩获“新一代信息技术”赛道铜牌，李玲、王斌悦、张振伟、马熙俊组成的团队荣获“轨道交通运输”赛道铜牌，实现国际赛事突破。以赛促教、赛教融合是提升技能人才培养质量的有效路径。竞赛培养模式已辐射各专业，带动整体教学质量提升。</w:t>
      </w:r>
    </w:p>
    <w:p w14:paraId="334F31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drawing>
          <wp:inline distT="0" distB="0" distL="114300" distR="114300">
            <wp:extent cx="5266690" cy="2825115"/>
            <wp:effectExtent l="0" t="0" r="0" b="0"/>
            <wp:docPr id="16" name="图片 16" descr="微信图片_2025-12-10_142733_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微信图片_2025-12-10_142733_921"/>
                    <pic:cNvPicPr>
                      <a:picLocks noChangeAspect="1"/>
                    </pic:cNvPicPr>
                  </pic:nvPicPr>
                  <pic:blipFill>
                    <a:blip r:embed="rId16"/>
                    <a:srcRect t="21953" b="8083"/>
                    <a:stretch>
                      <a:fillRect/>
                    </a:stretch>
                  </pic:blipFill>
                  <pic:spPr>
                    <a:xfrm>
                      <a:off x="0" y="0"/>
                      <a:ext cx="5266690" cy="2825115"/>
                    </a:xfrm>
                    <a:prstGeom prst="rect">
                      <a:avLst/>
                    </a:prstGeom>
                  </pic:spPr>
                </pic:pic>
              </a:graphicData>
            </a:graphic>
          </wp:inline>
        </w:drawing>
      </w:r>
    </w:p>
    <w:p w14:paraId="48E6D2F4">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1"/>
        <w:rPr>
          <w:rFonts w:hint="eastAsia" w:ascii="方正仿宋_GBK" w:hAnsi="方正仿宋_GBK" w:eastAsia="方正仿宋_GBK" w:cs="方正仿宋_GBK"/>
          <w:sz w:val="28"/>
          <w:szCs w:val="28"/>
          <w:lang w:val="en-US" w:eastAsia="zh-CN"/>
        </w:rPr>
      </w:pPr>
      <w:bookmarkStart w:id="24" w:name="_Toc10163"/>
      <w:r>
        <w:rPr>
          <w:rFonts w:hint="eastAsia" w:ascii="方正仿宋_GBK" w:hAnsi="方正仿宋_GBK" w:eastAsia="方正仿宋_GBK" w:cs="方正仿宋_GBK"/>
          <w:sz w:val="28"/>
          <w:szCs w:val="28"/>
          <w:lang w:val="en-US" w:eastAsia="zh-CN"/>
        </w:rPr>
        <w:t>图2.4-2  学生斩获2025年世赛“新一代信息技术”赛道铜牌</w:t>
      </w:r>
      <w:bookmarkEnd w:id="24"/>
    </w:p>
    <w:p w14:paraId="3609F8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drawing>
          <wp:inline distT="0" distB="0" distL="114300" distR="114300">
            <wp:extent cx="5269865" cy="2678430"/>
            <wp:effectExtent l="0" t="0" r="0" b="0"/>
            <wp:docPr id="17" name="图片 17" descr="微信图片_2025-12-10_142745_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微信图片_2025-12-10_142745_543"/>
                    <pic:cNvPicPr>
                      <a:picLocks noChangeAspect="1"/>
                    </pic:cNvPicPr>
                  </pic:nvPicPr>
                  <pic:blipFill>
                    <a:blip r:embed="rId17"/>
                    <a:srcRect t="11725" b="3882"/>
                    <a:stretch>
                      <a:fillRect/>
                    </a:stretch>
                  </pic:blipFill>
                  <pic:spPr>
                    <a:xfrm>
                      <a:off x="0" y="0"/>
                      <a:ext cx="5269865" cy="2678430"/>
                    </a:xfrm>
                    <a:prstGeom prst="rect">
                      <a:avLst/>
                    </a:prstGeom>
                  </pic:spPr>
                </pic:pic>
              </a:graphicData>
            </a:graphic>
          </wp:inline>
        </w:drawing>
      </w:r>
    </w:p>
    <w:p w14:paraId="7A5E7BE5">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1"/>
        <w:rPr>
          <w:rFonts w:hint="default" w:ascii="方正仿宋_GBK" w:hAnsi="方正仿宋_GBK" w:eastAsia="方正仿宋_GBK" w:cs="方正仿宋_GBK"/>
          <w:sz w:val="28"/>
          <w:szCs w:val="28"/>
          <w:lang w:val="en-US" w:eastAsia="zh-CN"/>
        </w:rPr>
      </w:pPr>
      <w:bookmarkStart w:id="25" w:name="_Toc18909"/>
      <w:r>
        <w:rPr>
          <w:rFonts w:hint="eastAsia" w:ascii="方正仿宋_GBK" w:hAnsi="方正仿宋_GBK" w:eastAsia="方正仿宋_GBK" w:cs="方正仿宋_GBK"/>
          <w:sz w:val="28"/>
          <w:szCs w:val="28"/>
          <w:lang w:val="en-US" w:eastAsia="zh-CN"/>
        </w:rPr>
        <w:t>图2.4-3  学生斩获2025年世赛“轨道交通运输”赛道铜牌</w:t>
      </w:r>
      <w:bookmarkEnd w:id="25"/>
    </w:p>
    <w:p w14:paraId="5653E7A6">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方正楷体_GBK" w:hAnsi="方正楷体_GBK" w:eastAsia="方正楷体_GBK" w:cs="方正楷体_GBK"/>
          <w:sz w:val="28"/>
          <w:szCs w:val="28"/>
        </w:rPr>
      </w:pPr>
      <w:bookmarkStart w:id="26" w:name="_Toc14677"/>
      <w:r>
        <w:rPr>
          <w:rFonts w:hint="eastAsia" w:ascii="方正楷体_GBK" w:hAnsi="方正楷体_GBK" w:eastAsia="方正楷体_GBK" w:cs="方正楷体_GBK"/>
          <w:sz w:val="28"/>
          <w:szCs w:val="28"/>
        </w:rPr>
        <w:t>2.5职业发展</w:t>
      </w:r>
      <w:bookmarkEnd w:id="26"/>
    </w:p>
    <w:p w14:paraId="783DF41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学校高度重视学生职业发展，畅通就业与升学双向渠道。毕业生就业渠道畅通，同时，学校为学生学历提升提供全方位支持，通过多元升学通道，助力学生进入高等院校继续深造，升学比例逐年提高，实现了就业与升学“双丰收”。（</w:t>
      </w:r>
      <w:r>
        <w:rPr>
          <w:rFonts w:hint="eastAsia" w:ascii="方正楷体_GBK" w:hAnsi="方正楷体_GBK" w:eastAsia="方正楷体_GBK" w:cs="方正楷体_GBK"/>
          <w:sz w:val="28"/>
          <w:szCs w:val="28"/>
          <w:lang w:val="en-US" w:eastAsia="zh-CN"/>
        </w:rPr>
        <w:t>数据来源：合肥东辰职业学校2025年度毕业生跟踪调查统计表。</w:t>
      </w:r>
      <w:r>
        <w:rPr>
          <w:rFonts w:hint="eastAsia" w:ascii="方正仿宋_GBK" w:hAnsi="方正仿宋_GBK" w:eastAsia="方正仿宋_GBK" w:cs="方正仿宋_GBK"/>
          <w:sz w:val="28"/>
          <w:szCs w:val="28"/>
          <w:lang w:val="en-US" w:eastAsia="zh-CN"/>
        </w:rPr>
        <w:t>）</w:t>
      </w:r>
    </w:p>
    <w:p w14:paraId="14BD301C">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方正黑体_GBK" w:hAnsi="方正黑体_GBK" w:eastAsia="方正黑体_GBK" w:cs="方正黑体_GBK"/>
          <w:sz w:val="32"/>
          <w:szCs w:val="32"/>
        </w:rPr>
      </w:pPr>
    </w:p>
    <w:p w14:paraId="6D5AA296">
      <w:pPr>
        <w:keepNext w:val="0"/>
        <w:keepLines w:val="0"/>
        <w:pageBreakBefore w:val="0"/>
        <w:widowControl w:val="0"/>
        <w:kinsoku/>
        <w:wordWrap/>
        <w:overflowPunct/>
        <w:topLinePunct w:val="0"/>
        <w:autoSpaceDE/>
        <w:autoSpaceDN/>
        <w:bidi w:val="0"/>
        <w:adjustRightInd/>
        <w:snapToGrid/>
        <w:spacing w:line="520" w:lineRule="exact"/>
        <w:textAlignment w:val="auto"/>
        <w:outlineLvl w:val="0"/>
        <w:rPr>
          <w:rFonts w:hint="eastAsia" w:ascii="方正黑体_GBK" w:hAnsi="方正黑体_GBK" w:eastAsia="方正黑体_GBK" w:cs="方正黑体_GBK"/>
          <w:sz w:val="32"/>
          <w:szCs w:val="32"/>
        </w:rPr>
      </w:pPr>
      <w:bookmarkStart w:id="27" w:name="_Toc26683"/>
      <w:r>
        <w:rPr>
          <w:rFonts w:hint="eastAsia" w:ascii="方正黑体_GBK" w:hAnsi="方正黑体_GBK" w:eastAsia="方正黑体_GBK" w:cs="方正黑体_GBK"/>
          <w:sz w:val="32"/>
          <w:szCs w:val="32"/>
        </w:rPr>
        <w:t>三、服务贡献</w:t>
      </w:r>
      <w:bookmarkEnd w:id="27"/>
    </w:p>
    <w:p w14:paraId="67C2B41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学校主动对接国家及区域发展需求，调整专业结构，优化人才培养方案，通过人才输送、技术服务、公益培训等多种形式，为长三角一体化发展、乡村振兴等战略实施提供支撑。2025年，农村生源占比达68%，为企业输送技能人才60余人，开展公益培训418人次，服务贡献能力持续增强。</w:t>
      </w:r>
    </w:p>
    <w:p w14:paraId="5FE3FA91">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方正楷体_GBK" w:hAnsi="方正楷体_GBK" w:eastAsia="方正楷体_GBK" w:cs="方正楷体_GBK"/>
          <w:sz w:val="28"/>
          <w:szCs w:val="28"/>
        </w:rPr>
      </w:pPr>
      <w:bookmarkStart w:id="28" w:name="_Toc9742"/>
      <w:r>
        <w:rPr>
          <w:rFonts w:hint="eastAsia" w:ascii="方正楷体_GBK" w:hAnsi="方正楷体_GBK" w:eastAsia="方正楷体_GBK" w:cs="方正楷体_GBK"/>
          <w:sz w:val="28"/>
          <w:szCs w:val="28"/>
        </w:rPr>
        <w:t>3.1服务国家重大战略</w:t>
      </w:r>
      <w:bookmarkEnd w:id="28"/>
    </w:p>
    <w:p w14:paraId="5FC3A29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学校主动对接长三角一体化发展、全民终身学习等国家重大战略，精准调整专业结构，优化人才培养方案。重点培养交通运输、电子商务、计算机应用等领域技能人才，为长三角区域产业协同发展提供坚实人才支撑。积极参与全民终身学习体系建设，发挥自身教学资源优势，开展各类社会培训，助力学习型社会构建，为区域产业升级注入了新鲜血液。</w:t>
      </w:r>
    </w:p>
    <w:p w14:paraId="600C3644">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方正楷体_GBK" w:hAnsi="方正楷体_GBK" w:eastAsia="方正楷体_GBK" w:cs="方正楷体_GBK"/>
          <w:sz w:val="28"/>
          <w:szCs w:val="28"/>
        </w:rPr>
      </w:pPr>
      <w:bookmarkStart w:id="29" w:name="_Toc1456"/>
      <w:r>
        <w:rPr>
          <w:rFonts w:hint="eastAsia" w:ascii="方正楷体_GBK" w:hAnsi="方正楷体_GBK" w:eastAsia="方正楷体_GBK" w:cs="方正楷体_GBK"/>
          <w:sz w:val="28"/>
          <w:szCs w:val="28"/>
        </w:rPr>
        <w:t>3.2服务区域特色发展</w:t>
      </w:r>
      <w:bookmarkEnd w:id="29"/>
    </w:p>
    <w:p w14:paraId="3008D1B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学校立足合肥都市圈、皖江城市带发展需求，聚焦地方支柱产业与特色产业，培养适配区域发展的技能人才。针对合肥都市圈产业升级需求，优化新能源汽车运用与维修、电子商务等专业课程体系，提升人才供给精准度。积极服务乡村振兴战略，为农村地区学生提供优质职业教育资源，2025年农村生源占比达68%，通过技能培养助力农村劳动力素质提升，促进农村人力资本增值。</w:t>
      </w:r>
    </w:p>
    <w:p w14:paraId="21EC1066">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方正楷体_GBK" w:hAnsi="方正楷体_GBK" w:eastAsia="方正楷体_GBK" w:cs="方正楷体_GBK"/>
          <w:sz w:val="28"/>
          <w:szCs w:val="28"/>
        </w:rPr>
      </w:pPr>
      <w:bookmarkStart w:id="30" w:name="_Toc19623"/>
      <w:r>
        <w:rPr>
          <w:rFonts w:hint="eastAsia" w:ascii="方正楷体_GBK" w:hAnsi="方正楷体_GBK" w:eastAsia="方正楷体_GBK" w:cs="方正楷体_GBK"/>
          <w:sz w:val="28"/>
          <w:szCs w:val="28"/>
        </w:rPr>
        <w:t>3.3服务产业创新发展</w:t>
      </w:r>
      <w:bookmarkEnd w:id="30"/>
    </w:p>
    <w:p w14:paraId="2614AA0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学校紧密对接合肥新兴产业发展趋势，重点服务新能源汽车等产业。新能源汽车运用与维修专业作为特色专业，与区域内多家新能源汽车企业开展深度合作，定向培养技术技能人才。鼓励教师参与科技创新与发明专利申报，助力产业创新发展，实现教育与产业协同共进。</w:t>
      </w:r>
    </w:p>
    <w:p w14:paraId="115F2986">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方正楷体_GBK" w:hAnsi="方正楷体_GBK" w:eastAsia="方正楷体_GBK" w:cs="方正楷体_GBK"/>
          <w:sz w:val="28"/>
          <w:szCs w:val="28"/>
        </w:rPr>
      </w:pPr>
    </w:p>
    <w:p w14:paraId="66C5F913">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方正楷体_GBK" w:hAnsi="方正楷体_GBK" w:eastAsia="方正楷体_GBK" w:cs="方正楷体_GBK"/>
          <w:sz w:val="28"/>
          <w:szCs w:val="28"/>
        </w:rPr>
      </w:pPr>
      <w:bookmarkStart w:id="31" w:name="_Toc25898"/>
      <w:r>
        <w:rPr>
          <w:rFonts w:hint="eastAsia" w:ascii="方正楷体_GBK" w:hAnsi="方正楷体_GBK" w:eastAsia="方正楷体_GBK" w:cs="方正楷体_GBK"/>
          <w:sz w:val="28"/>
          <w:szCs w:val="28"/>
        </w:rPr>
        <w:t>3.4服务重大民生急需</w:t>
      </w:r>
      <w:bookmarkEnd w:id="31"/>
    </w:p>
    <w:p w14:paraId="5B9B078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学校面向校内外师生、青年团体开展免费公益培训项目，2025学年对外开展培训1个项目，培训时间2学时，培训对象418人次，其中在校学生380人次、教师38人次。通过职业技能培训，提升劳动者就业竞争力，助力民生改善，获得社会广泛认可。</w:t>
      </w:r>
    </w:p>
    <w:p w14:paraId="30940750">
      <w:pPr>
        <w:keepNext w:val="0"/>
        <w:keepLines w:val="0"/>
        <w:pageBreakBefore w:val="0"/>
        <w:widowControl w:val="0"/>
        <w:kinsoku/>
        <w:wordWrap/>
        <w:overflowPunct/>
        <w:topLinePunct w:val="0"/>
        <w:autoSpaceDE/>
        <w:autoSpaceDN/>
        <w:bidi w:val="0"/>
        <w:adjustRightInd/>
        <w:snapToGrid/>
        <w:spacing w:line="520" w:lineRule="exact"/>
        <w:textAlignment w:val="auto"/>
        <w:outlineLvl w:val="0"/>
        <w:rPr>
          <w:rFonts w:hint="eastAsia" w:ascii="方正黑体_GBK" w:hAnsi="方正黑体_GBK" w:eastAsia="方正黑体_GBK" w:cs="方正黑体_GBK"/>
          <w:sz w:val="28"/>
          <w:szCs w:val="28"/>
          <w:lang w:val="en-US" w:eastAsia="zh-CN"/>
        </w:rPr>
      </w:pPr>
      <w:bookmarkStart w:id="32" w:name="_Toc19577"/>
      <w:r>
        <w:rPr>
          <w:rFonts w:hint="eastAsia" w:ascii="方正黑体_GBK" w:hAnsi="方正黑体_GBK" w:eastAsia="方正黑体_GBK" w:cs="方正黑体_GBK"/>
          <w:sz w:val="28"/>
          <w:szCs w:val="28"/>
          <w:lang w:val="en-US" w:eastAsia="zh-CN"/>
        </w:rPr>
        <w:t>案例4：公益培训进社区服务民生显担当</w:t>
      </w:r>
      <w:bookmarkEnd w:id="32"/>
    </w:p>
    <w:p w14:paraId="3C85DA4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响应民生改善需求，破解社区居民及在校师生技能提升难题。依托自身教学资源，开展公益培训活动，聚焦中小学劳动素养提升及居民实用技能需求、培训内容涵盖手工制作、计算机基础应用、职业礼仪等，由8名经验丰富的教师担任授课任务，采用“理论讲解+实操演练”的教学方式、深入周边社区设置培训点，方便居民参与。立足民生需求，发挥职教优势，是职业学校服务社会的重要路径。该公益培训模式将持续推广，计划2026年新增培训项目，扩大培训覆盖面。</w:t>
      </w:r>
    </w:p>
    <w:p w14:paraId="14B5AE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drawing>
          <wp:inline distT="0" distB="0" distL="114300" distR="114300">
            <wp:extent cx="5262880" cy="2759710"/>
            <wp:effectExtent l="0" t="0" r="0" b="0"/>
            <wp:docPr id="18" name="图片 18" descr="公益培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公益培训"/>
                    <pic:cNvPicPr>
                      <a:picLocks noChangeAspect="1"/>
                    </pic:cNvPicPr>
                  </pic:nvPicPr>
                  <pic:blipFill>
                    <a:blip r:embed="rId18"/>
                    <a:srcRect t="6538"/>
                    <a:stretch>
                      <a:fillRect/>
                    </a:stretch>
                  </pic:blipFill>
                  <pic:spPr>
                    <a:xfrm>
                      <a:off x="0" y="0"/>
                      <a:ext cx="5262880" cy="2759710"/>
                    </a:xfrm>
                    <a:prstGeom prst="rect">
                      <a:avLst/>
                    </a:prstGeom>
                  </pic:spPr>
                </pic:pic>
              </a:graphicData>
            </a:graphic>
          </wp:inline>
        </w:drawing>
      </w:r>
    </w:p>
    <w:p w14:paraId="76B7CF1C">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1"/>
        <w:rPr>
          <w:rFonts w:hint="eastAsia" w:ascii="方正仿宋_GBK" w:hAnsi="方正仿宋_GBK" w:eastAsia="方正仿宋_GBK" w:cs="方正仿宋_GBK"/>
          <w:sz w:val="28"/>
          <w:szCs w:val="28"/>
          <w:lang w:val="en-US" w:eastAsia="zh-CN"/>
        </w:rPr>
      </w:pPr>
      <w:bookmarkStart w:id="33" w:name="_Toc13559"/>
      <w:r>
        <w:rPr>
          <w:rFonts w:hint="eastAsia" w:ascii="方正仿宋_GBK" w:hAnsi="方正仿宋_GBK" w:eastAsia="方正仿宋_GBK" w:cs="方正仿宋_GBK"/>
          <w:sz w:val="28"/>
          <w:szCs w:val="28"/>
          <w:lang w:val="en-US" w:eastAsia="zh-CN"/>
        </w:rPr>
        <w:t>图3.4  学校“江淮技能大师”张露老师做手工制茶公益培训</w:t>
      </w:r>
      <w:bookmarkEnd w:id="33"/>
    </w:p>
    <w:p w14:paraId="39067902">
      <w:pPr>
        <w:keepNext w:val="0"/>
        <w:keepLines w:val="0"/>
        <w:pageBreakBefore w:val="0"/>
        <w:widowControl w:val="0"/>
        <w:kinsoku/>
        <w:wordWrap/>
        <w:overflowPunct/>
        <w:topLinePunct w:val="0"/>
        <w:autoSpaceDE/>
        <w:autoSpaceDN/>
        <w:bidi w:val="0"/>
        <w:adjustRightInd/>
        <w:snapToGrid/>
        <w:spacing w:line="520" w:lineRule="exact"/>
        <w:textAlignment w:val="auto"/>
        <w:outlineLvl w:val="0"/>
        <w:rPr>
          <w:rFonts w:hint="eastAsia" w:ascii="方正黑体_GBK" w:hAnsi="方正黑体_GBK" w:eastAsia="方正黑体_GBK" w:cs="方正黑体_GBK"/>
          <w:sz w:val="32"/>
          <w:szCs w:val="32"/>
        </w:rPr>
      </w:pPr>
      <w:bookmarkStart w:id="34" w:name="_Toc19825"/>
      <w:r>
        <w:rPr>
          <w:rFonts w:hint="eastAsia" w:ascii="方正黑体_GBK" w:hAnsi="方正黑体_GBK" w:eastAsia="方正黑体_GBK" w:cs="方正黑体_GBK"/>
          <w:sz w:val="32"/>
          <w:szCs w:val="32"/>
        </w:rPr>
        <w:t>四、产教融合</w:t>
      </w:r>
      <w:bookmarkEnd w:id="34"/>
    </w:p>
    <w:p w14:paraId="40B009A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学校积极探索产教融合创新机制，主动对接行业企业，构建校企协同育人体系。2025年，与20余家企业建立长期稳定合作关系，企业投入设备价值200余万元，教师企业挂职锻炼22人，毕业生对口就业率平均达85%以上，产教融合深度持续拓展。</w:t>
      </w:r>
    </w:p>
    <w:p w14:paraId="783EDF9A">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方正楷体_GBK" w:hAnsi="方正楷体_GBK" w:eastAsia="方正楷体_GBK" w:cs="方正楷体_GBK"/>
          <w:sz w:val="28"/>
          <w:szCs w:val="28"/>
        </w:rPr>
      </w:pPr>
      <w:bookmarkStart w:id="35" w:name="_Toc18073"/>
      <w:r>
        <w:rPr>
          <w:rFonts w:hint="eastAsia" w:ascii="方正楷体_GBK" w:hAnsi="方正楷体_GBK" w:eastAsia="方正楷体_GBK" w:cs="方正楷体_GBK"/>
          <w:sz w:val="28"/>
          <w:szCs w:val="28"/>
        </w:rPr>
        <w:t>4.1创新产教融合机制</w:t>
      </w:r>
      <w:bookmarkEnd w:id="35"/>
    </w:p>
    <w:p w14:paraId="14D91AD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学校积极探索产教融合创新机制，主动对接行业企业，构建全方位校企协同育人体系。参与市域产教联合体与行业产教融合共同体建设，与20余家企业建立长期稳定合作关系。校企双方共同制定人才培养方案、共建课程体系，通过完善校企合作管理制度，明确双方权利与义务，保障产教融合工作有序推进，形成了“资源共享、责任共担、利益共赢”的合作格局。</w:t>
      </w:r>
    </w:p>
    <w:p w14:paraId="558CFDBA">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方正楷体_GBK" w:hAnsi="方正楷体_GBK" w:eastAsia="方正楷体_GBK" w:cs="方正楷体_GBK"/>
          <w:sz w:val="28"/>
          <w:szCs w:val="28"/>
        </w:rPr>
      </w:pPr>
      <w:bookmarkStart w:id="36" w:name="_Toc10767"/>
      <w:r>
        <w:rPr>
          <w:rFonts w:hint="eastAsia" w:ascii="方正楷体_GBK" w:hAnsi="方正楷体_GBK" w:eastAsia="方正楷体_GBK" w:cs="方正楷体_GBK"/>
          <w:sz w:val="28"/>
          <w:szCs w:val="28"/>
        </w:rPr>
        <w:t>4.2丰富产教融合载体</w:t>
      </w:r>
      <w:bookmarkEnd w:id="36"/>
    </w:p>
    <w:p w14:paraId="69D8FBE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学校建有13个校外实习实训场所，覆盖各专业主要就业领域，为学生提供真实岗位实践环境。同时，学校开放教学资源，为合作企业提供员工培训、技术咨询等服务，2025年为企业培训员工120余人次，实现校企资源互补共享，产教融合载体不断丰富。</w:t>
      </w:r>
    </w:p>
    <w:p w14:paraId="35DF8B95">
      <w:pPr>
        <w:keepNext w:val="0"/>
        <w:keepLines w:val="0"/>
        <w:pageBreakBefore w:val="0"/>
        <w:widowControl w:val="0"/>
        <w:kinsoku/>
        <w:wordWrap/>
        <w:overflowPunct/>
        <w:topLinePunct w:val="0"/>
        <w:autoSpaceDE/>
        <w:autoSpaceDN/>
        <w:bidi w:val="0"/>
        <w:adjustRightInd/>
        <w:snapToGrid/>
        <w:spacing w:line="520" w:lineRule="exact"/>
        <w:textAlignment w:val="auto"/>
        <w:outlineLvl w:val="2"/>
        <w:rPr>
          <w:rFonts w:hint="eastAsia" w:ascii="方正黑体_GBK" w:hAnsi="方正黑体_GBK" w:eastAsia="方正黑体_GBK" w:cs="方正黑体_GBK"/>
          <w:sz w:val="28"/>
          <w:szCs w:val="28"/>
          <w:lang w:val="en-US" w:eastAsia="zh-CN"/>
        </w:rPr>
      </w:pPr>
      <w:bookmarkStart w:id="37" w:name="_Toc3794"/>
      <w:r>
        <w:rPr>
          <w:rFonts w:hint="eastAsia" w:ascii="方正黑体_GBK" w:hAnsi="方正黑体_GBK" w:eastAsia="方正黑体_GBK" w:cs="方正黑体_GBK"/>
          <w:sz w:val="28"/>
          <w:szCs w:val="28"/>
          <w:lang w:val="en-US" w:eastAsia="zh-CN"/>
        </w:rPr>
        <w:t>案例5：校企深度协同共建电商实训高地</w:t>
      </w:r>
      <w:bookmarkEnd w:id="37"/>
    </w:p>
    <w:p w14:paraId="19AD856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针对电子商务行业快速发展对技能人才的需求，破解学生实践能力培养与企业岗位需求脱节问题。与京东达成深度合作，共建安徽省最大的京东电商实训基地，提供真实岗位用于学生实习、双方共同制定人才培养方案，企业选派5名技术骨干担任兼职教师，参与课堂教学与实训指导、学校选派8名教师赴企业挂职锻炼，参与企业生产实践，提升实践教学能力。实训基地年接纳实习学生200余人次，学生实习合格率达98%，毕业生在电商行业就业起薪较同类专业高出15%、合作开发课程3门，编写实训教材2本。校企资源深度整合、协同育人是提升人才培养质量的关键。该合作模式已在计算机应用、市场营销等专业推广，计划2026年新增2家龙头企业合作。</w:t>
      </w:r>
    </w:p>
    <w:p w14:paraId="587413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drawing>
          <wp:inline distT="0" distB="0" distL="114300" distR="114300">
            <wp:extent cx="5269865" cy="3161030"/>
            <wp:effectExtent l="0" t="0" r="0" b="0"/>
            <wp:docPr id="19" name="图片 19" descr="微信图片_2025-12-11_084657_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微信图片_2025-12-11_084657_028"/>
                    <pic:cNvPicPr>
                      <a:picLocks noChangeAspect="1"/>
                    </pic:cNvPicPr>
                  </pic:nvPicPr>
                  <pic:blipFill>
                    <a:blip r:embed="rId19"/>
                    <a:srcRect t="8582" b="10197"/>
                    <a:stretch>
                      <a:fillRect/>
                    </a:stretch>
                  </pic:blipFill>
                  <pic:spPr>
                    <a:xfrm>
                      <a:off x="0" y="0"/>
                      <a:ext cx="5269865" cy="3161030"/>
                    </a:xfrm>
                    <a:prstGeom prst="rect">
                      <a:avLst/>
                    </a:prstGeom>
                  </pic:spPr>
                </pic:pic>
              </a:graphicData>
            </a:graphic>
          </wp:inline>
        </w:drawing>
      </w:r>
    </w:p>
    <w:p w14:paraId="3127CF7F">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1"/>
        <w:rPr>
          <w:rFonts w:hint="default" w:ascii="方正仿宋_GBK" w:hAnsi="方正仿宋_GBK" w:eastAsia="方正仿宋_GBK" w:cs="方正仿宋_GBK"/>
          <w:sz w:val="28"/>
          <w:szCs w:val="28"/>
          <w:lang w:val="en-US"/>
        </w:rPr>
      </w:pPr>
      <w:bookmarkStart w:id="38" w:name="_Toc32585"/>
      <w:r>
        <w:rPr>
          <w:rFonts w:hint="eastAsia" w:ascii="方正仿宋_GBK" w:hAnsi="方正仿宋_GBK" w:eastAsia="方正仿宋_GBK" w:cs="方正仿宋_GBK"/>
          <w:sz w:val="28"/>
          <w:szCs w:val="28"/>
          <w:lang w:val="en-US" w:eastAsia="zh-CN"/>
        </w:rPr>
        <w:t>图4.2  京东公司派遣技术骨干在电商实训基地开展实战培训</w:t>
      </w:r>
      <w:bookmarkEnd w:id="38"/>
    </w:p>
    <w:p w14:paraId="54F55F5E">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方正楷体_GBK" w:hAnsi="方正楷体_GBK" w:eastAsia="方正楷体_GBK" w:cs="方正楷体_GBK"/>
          <w:sz w:val="28"/>
          <w:szCs w:val="28"/>
        </w:rPr>
      </w:pPr>
      <w:bookmarkStart w:id="39" w:name="_Toc11540"/>
      <w:r>
        <w:rPr>
          <w:rFonts w:hint="eastAsia" w:ascii="方正楷体_GBK" w:hAnsi="方正楷体_GBK" w:eastAsia="方正楷体_GBK" w:cs="方正楷体_GBK"/>
          <w:sz w:val="28"/>
          <w:szCs w:val="28"/>
        </w:rPr>
        <w:t>4.3提升产教融合质量</w:t>
      </w:r>
      <w:bookmarkEnd w:id="39"/>
    </w:p>
    <w:p w14:paraId="796C228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学校聘请31名行业企业技术骨干担任校外教师，参与课堂教学、实训指导与课程开发。推行产业教授制度，邀请名企业高管、技术专家进校园开展讲座，拓宽学生行业视野。通过产教融合引领人才培养模式改革，优化专业结构布局，提升人才供给与产业需求的匹配度。</w:t>
      </w:r>
    </w:p>
    <w:p w14:paraId="6C6FC4E1">
      <w:pPr>
        <w:keepNext w:val="0"/>
        <w:keepLines w:val="0"/>
        <w:pageBreakBefore w:val="0"/>
        <w:widowControl w:val="0"/>
        <w:kinsoku/>
        <w:wordWrap/>
        <w:overflowPunct/>
        <w:topLinePunct w:val="0"/>
        <w:autoSpaceDE/>
        <w:autoSpaceDN/>
        <w:bidi w:val="0"/>
        <w:adjustRightInd/>
        <w:snapToGrid/>
        <w:spacing w:line="520" w:lineRule="exact"/>
        <w:textAlignment w:val="auto"/>
        <w:outlineLvl w:val="0"/>
        <w:rPr>
          <w:rFonts w:hint="eastAsia" w:ascii="方正黑体_GBK" w:hAnsi="方正黑体_GBK" w:eastAsia="方正黑体_GBK" w:cs="方正黑体_GBK"/>
          <w:sz w:val="32"/>
          <w:szCs w:val="32"/>
        </w:rPr>
      </w:pPr>
      <w:bookmarkStart w:id="40" w:name="_Toc21459"/>
      <w:r>
        <w:rPr>
          <w:rFonts w:hint="eastAsia" w:ascii="方正黑体_GBK" w:hAnsi="方正黑体_GBK" w:eastAsia="方正黑体_GBK" w:cs="方正黑体_GBK"/>
          <w:sz w:val="32"/>
          <w:szCs w:val="32"/>
        </w:rPr>
        <w:t>五、文化传承</w:t>
      </w:r>
      <w:bookmarkEnd w:id="40"/>
    </w:p>
    <w:p w14:paraId="459D167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学校依托文化艺术类专业优势，将文化传承融入教育教学全过程，通过课程设置、实践活动、校园文化建设等多种形式，培育学生文化自信与职业素养。2025年，在省级技能竞赛文化艺术类赛项中斩获佳绩，红色教育覆盖全体在校生，文化传承育人成效显著。</w:t>
      </w:r>
    </w:p>
    <w:p w14:paraId="16EF0902">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方正楷体_GBK" w:hAnsi="方正楷体_GBK" w:eastAsia="方正楷体_GBK" w:cs="方正楷体_GBK"/>
          <w:sz w:val="28"/>
          <w:szCs w:val="28"/>
        </w:rPr>
      </w:pPr>
      <w:bookmarkStart w:id="41" w:name="_Toc1570"/>
      <w:r>
        <w:rPr>
          <w:rFonts w:hint="eastAsia" w:ascii="方正楷体_GBK" w:hAnsi="方正楷体_GBK" w:eastAsia="方正楷体_GBK" w:cs="方正楷体_GBK"/>
          <w:sz w:val="28"/>
          <w:szCs w:val="28"/>
        </w:rPr>
        <w:t>5.1传承优秀传统文化</w:t>
      </w:r>
      <w:bookmarkEnd w:id="41"/>
    </w:p>
    <w:p w14:paraId="2030448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学校依托绘画、社会文化艺术、舞蹈表演、音乐表演等文化艺术类专业优势，传承行业特色文化、地方特色传统文化与民族非遗文化。将传统文化元素融入教学内容，开设《传统绘画技法》《非遗文化赏析》等特色课程，系统传授传统技艺与文化内涵。组织学生参与非遗进校园活动，邀请非遗传承人进校园开展教学指导，引导学生学习传统手工艺制作，培养学生文化自信与传承意识。</w:t>
      </w:r>
    </w:p>
    <w:p w14:paraId="2060AB60">
      <w:pPr>
        <w:keepNext w:val="0"/>
        <w:keepLines w:val="0"/>
        <w:pageBreakBefore w:val="0"/>
        <w:widowControl w:val="0"/>
        <w:kinsoku/>
        <w:wordWrap/>
        <w:overflowPunct/>
        <w:topLinePunct w:val="0"/>
        <w:autoSpaceDE/>
        <w:autoSpaceDN/>
        <w:bidi w:val="0"/>
        <w:adjustRightInd/>
        <w:snapToGrid/>
        <w:spacing w:line="520" w:lineRule="exact"/>
        <w:textAlignment w:val="auto"/>
        <w:outlineLvl w:val="2"/>
        <w:rPr>
          <w:rFonts w:hint="eastAsia" w:ascii="方正黑体_GBK" w:hAnsi="方正黑体_GBK" w:eastAsia="方正黑体_GBK" w:cs="方正黑体_GBK"/>
          <w:sz w:val="28"/>
          <w:szCs w:val="28"/>
          <w:lang w:val="en-US" w:eastAsia="zh-CN"/>
        </w:rPr>
      </w:pPr>
      <w:bookmarkStart w:id="42" w:name="_Toc5822"/>
      <w:r>
        <w:rPr>
          <w:rFonts w:hint="eastAsia" w:ascii="方正黑体_GBK" w:hAnsi="方正黑体_GBK" w:eastAsia="方正黑体_GBK" w:cs="方正黑体_GBK"/>
          <w:sz w:val="28"/>
          <w:szCs w:val="28"/>
          <w:lang w:val="en-US" w:eastAsia="zh-CN"/>
        </w:rPr>
        <w:t>案例6：非遗文化浸润培育文化传承新人</w:t>
      </w:r>
      <w:bookmarkEnd w:id="42"/>
    </w:p>
    <w:p w14:paraId="5F63388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为弘扬中华优秀传统文化，破解非遗文化传承“后继乏人”难题，发挥职业学校文化传承职能。学校开设非遗文化特色课程，将传统绘画、戏曲表演等非遗元素融入专业教学、邀请非遗传承人进校园开展专题讲座、实操教学、组织学生参与非遗文化展示活动，鼓励学生参与非遗作品创作。在2024-2025年度安徽省职业院校技能大赛（中职组）中，何家贝老师指导的声乐、器乐表演赛项获得安徽省一等奖，并入围世界职业院校技能大赛安徽省选拔赛、黄奕朵、胡义超老师指导的戏曲表演赛项获得安徽省二等奖。将非遗文化融入职业教育，是实现文化传承与技能培养双赢的有效路径。该文化传承模式已在文化艺术类专业全面推行。</w:t>
      </w:r>
    </w:p>
    <w:p w14:paraId="0FB1D3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drawing>
          <wp:inline distT="0" distB="0" distL="114300" distR="114300">
            <wp:extent cx="5266690" cy="3326765"/>
            <wp:effectExtent l="0" t="0" r="0" b="0"/>
            <wp:docPr id="20" name="图片 20" descr="微信图片_2025-12-11_101318_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微信图片_2025-12-11_101318_508"/>
                    <pic:cNvPicPr>
                      <a:picLocks noChangeAspect="1"/>
                    </pic:cNvPicPr>
                  </pic:nvPicPr>
                  <pic:blipFill>
                    <a:blip r:embed="rId20"/>
                    <a:srcRect t="2531" b="2730"/>
                    <a:stretch>
                      <a:fillRect/>
                    </a:stretch>
                  </pic:blipFill>
                  <pic:spPr>
                    <a:xfrm>
                      <a:off x="0" y="0"/>
                      <a:ext cx="5266690" cy="3326765"/>
                    </a:xfrm>
                    <a:prstGeom prst="rect">
                      <a:avLst/>
                    </a:prstGeom>
                  </pic:spPr>
                </pic:pic>
              </a:graphicData>
            </a:graphic>
          </wp:inline>
        </w:drawing>
      </w:r>
    </w:p>
    <w:p w14:paraId="77D0BE94">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1"/>
        <w:rPr>
          <w:rFonts w:hint="default" w:ascii="方正仿宋_GBK" w:hAnsi="方正仿宋_GBK" w:eastAsia="方正仿宋_GBK" w:cs="方正仿宋_GBK"/>
          <w:sz w:val="28"/>
          <w:szCs w:val="28"/>
          <w:lang w:val="en-US" w:eastAsia="zh-CN"/>
        </w:rPr>
      </w:pPr>
      <w:bookmarkStart w:id="43" w:name="_Toc23745"/>
      <w:r>
        <w:rPr>
          <w:rFonts w:hint="eastAsia" w:ascii="方正仿宋_GBK" w:hAnsi="方正仿宋_GBK" w:eastAsia="方正仿宋_GBK" w:cs="方正仿宋_GBK"/>
          <w:sz w:val="28"/>
          <w:szCs w:val="28"/>
          <w:lang w:val="en-US" w:eastAsia="zh-CN"/>
        </w:rPr>
        <w:t>图5.1-1  2025届毕业生周翰林在校园文化节上表演京剧</w:t>
      </w:r>
      <w:bookmarkEnd w:id="43"/>
    </w:p>
    <w:p w14:paraId="23A9EE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drawing>
          <wp:inline distT="0" distB="0" distL="114300" distR="114300">
            <wp:extent cx="5266690" cy="3036570"/>
            <wp:effectExtent l="0" t="0" r="0" b="0"/>
            <wp:docPr id="21" name="图片 21" descr="音乐技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音乐技赛"/>
                    <pic:cNvPicPr>
                      <a:picLocks noChangeAspect="1"/>
                    </pic:cNvPicPr>
                  </pic:nvPicPr>
                  <pic:blipFill>
                    <a:blip r:embed="rId21"/>
                    <a:srcRect t="23131"/>
                    <a:stretch>
                      <a:fillRect/>
                    </a:stretch>
                  </pic:blipFill>
                  <pic:spPr>
                    <a:xfrm>
                      <a:off x="0" y="0"/>
                      <a:ext cx="5266690" cy="3036570"/>
                    </a:xfrm>
                    <a:prstGeom prst="rect">
                      <a:avLst/>
                    </a:prstGeom>
                  </pic:spPr>
                </pic:pic>
              </a:graphicData>
            </a:graphic>
          </wp:inline>
        </w:drawing>
      </w:r>
    </w:p>
    <w:p w14:paraId="30F948A0">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1"/>
        <w:rPr>
          <w:rFonts w:hint="default" w:ascii="方正仿宋_GBK" w:hAnsi="方正仿宋_GBK" w:eastAsia="方正仿宋_GBK" w:cs="方正仿宋_GBK"/>
          <w:sz w:val="28"/>
          <w:szCs w:val="28"/>
          <w:lang w:val="en-US" w:eastAsia="zh-CN"/>
        </w:rPr>
      </w:pPr>
      <w:bookmarkStart w:id="44" w:name="_Toc6118"/>
      <w:r>
        <w:rPr>
          <w:rFonts w:hint="eastAsia" w:ascii="方正仿宋_GBK" w:hAnsi="方正仿宋_GBK" w:eastAsia="方正仿宋_GBK" w:cs="方正仿宋_GBK"/>
          <w:sz w:val="28"/>
          <w:szCs w:val="28"/>
          <w:lang w:val="en-US" w:eastAsia="zh-CN"/>
        </w:rPr>
        <w:t>图5.1-2  何家贝老师编排的民乐曲目获得2024-2025年度安徽省职业院校技能大赛（中职组）一等奖</w:t>
      </w:r>
      <w:bookmarkEnd w:id="44"/>
    </w:p>
    <w:p w14:paraId="6CB37C10">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方正楷体_GBK" w:hAnsi="方正楷体_GBK" w:eastAsia="方正楷体_GBK" w:cs="方正楷体_GBK"/>
          <w:sz w:val="28"/>
          <w:szCs w:val="28"/>
        </w:rPr>
      </w:pPr>
      <w:bookmarkStart w:id="45" w:name="_Toc8409"/>
      <w:r>
        <w:rPr>
          <w:rFonts w:hint="eastAsia" w:ascii="方正楷体_GBK" w:hAnsi="方正楷体_GBK" w:eastAsia="方正楷体_GBK" w:cs="方正楷体_GBK"/>
          <w:sz w:val="28"/>
          <w:szCs w:val="28"/>
        </w:rPr>
        <w:t>5.2传承红色革命文化</w:t>
      </w:r>
      <w:bookmarkEnd w:id="45"/>
    </w:p>
    <w:p w14:paraId="2E924ED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学校将红色革命文化传承全面融入德育工作，组织学生系统学习红色历史、弘扬革命精神。通过主题班会、红色故事分享会、红色影片展播等形式，开展红色教育活动，实现全体在校生全覆盖。组织学生赴瑶岗渡江战役总前委旧址纪念馆等红色教育基地开展实践研学活动，让学生在实地体验中感悟革命精神，坚定理想信念，厚植家国情怀。</w:t>
      </w:r>
    </w:p>
    <w:p w14:paraId="060EC6B2">
      <w:pPr>
        <w:keepNext w:val="0"/>
        <w:keepLines w:val="0"/>
        <w:pageBreakBefore w:val="0"/>
        <w:widowControl w:val="0"/>
        <w:kinsoku/>
        <w:wordWrap/>
        <w:overflowPunct/>
        <w:topLinePunct w:val="0"/>
        <w:autoSpaceDE/>
        <w:autoSpaceDN/>
        <w:bidi w:val="0"/>
        <w:adjustRightInd/>
        <w:snapToGrid/>
        <w:spacing w:line="520" w:lineRule="exact"/>
        <w:textAlignment w:val="auto"/>
        <w:outlineLvl w:val="2"/>
        <w:rPr>
          <w:rFonts w:hint="eastAsia" w:ascii="方正黑体_GBK" w:hAnsi="方正黑体_GBK" w:eastAsia="方正黑体_GBK" w:cs="方正黑体_GBK"/>
          <w:sz w:val="28"/>
          <w:szCs w:val="28"/>
          <w:lang w:val="en-US" w:eastAsia="zh-CN"/>
        </w:rPr>
      </w:pPr>
      <w:bookmarkStart w:id="46" w:name="_Toc28942"/>
      <w:r>
        <w:rPr>
          <w:rFonts w:hint="eastAsia" w:ascii="方正黑体_GBK" w:hAnsi="方正黑体_GBK" w:eastAsia="方正黑体_GBK" w:cs="方正黑体_GBK"/>
          <w:sz w:val="28"/>
          <w:szCs w:val="28"/>
          <w:lang w:val="en-US" w:eastAsia="zh-CN"/>
        </w:rPr>
        <w:t>案例7：红色教育铸魂厚植家国情怀</w:t>
      </w:r>
      <w:bookmarkEnd w:id="46"/>
    </w:p>
    <w:p w14:paraId="1425AE2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为落实立德树人根本任务，传承红色基因，破解青少年红色文化认知不足问题。学校构建“课堂教学+主题活动+实践研学”红色教育体系，在思政课及专业课程中融入红色文化内容、开展“红色故事我来讲”“红色歌曲传唱”等主题活动、组织学生赴红色教育基地开展实践活动2次，参与学生800余人次。学生红色文化认知度显著提升，爱国主义情怀进一步增强。沉浸式、体验式红色教育能有效增强学生情感认同。红色教育已纳入学校常态化育人体系，将持续丰富教育形式与内容。</w:t>
      </w:r>
    </w:p>
    <w:p w14:paraId="2ED5BF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drawing>
          <wp:inline distT="0" distB="0" distL="114300" distR="114300">
            <wp:extent cx="5273040" cy="2956560"/>
            <wp:effectExtent l="0" t="0" r="3810" b="15240"/>
            <wp:docPr id="22" name="图片 22" descr="微信图片_2025-12-11_103958_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微信图片_2025-12-11_103958_229"/>
                    <pic:cNvPicPr>
                      <a:picLocks noChangeAspect="1"/>
                    </pic:cNvPicPr>
                  </pic:nvPicPr>
                  <pic:blipFill>
                    <a:blip r:embed="rId22"/>
                    <a:stretch>
                      <a:fillRect/>
                    </a:stretch>
                  </pic:blipFill>
                  <pic:spPr>
                    <a:xfrm>
                      <a:off x="0" y="0"/>
                      <a:ext cx="5273040" cy="2956560"/>
                    </a:xfrm>
                    <a:prstGeom prst="rect">
                      <a:avLst/>
                    </a:prstGeom>
                  </pic:spPr>
                </pic:pic>
              </a:graphicData>
            </a:graphic>
          </wp:inline>
        </w:drawing>
      </w:r>
    </w:p>
    <w:p w14:paraId="619FA778">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1"/>
        <w:rPr>
          <w:rFonts w:hint="default" w:ascii="方正仿宋_GBK" w:hAnsi="方正仿宋_GBK" w:eastAsia="方正仿宋_GBK" w:cs="方正仿宋_GBK"/>
          <w:sz w:val="28"/>
          <w:szCs w:val="28"/>
          <w:lang w:val="en-US"/>
        </w:rPr>
      </w:pPr>
      <w:bookmarkStart w:id="47" w:name="_Toc12470"/>
      <w:r>
        <w:rPr>
          <w:rFonts w:hint="eastAsia" w:ascii="方正仿宋_GBK" w:hAnsi="方正仿宋_GBK" w:eastAsia="方正仿宋_GBK" w:cs="方正仿宋_GBK"/>
          <w:sz w:val="28"/>
          <w:szCs w:val="28"/>
          <w:lang w:val="en-US" w:eastAsia="zh-CN"/>
        </w:rPr>
        <w:t>图5.2  组织学生赴大别山红色教育基地开展实践活动</w:t>
      </w:r>
      <w:bookmarkEnd w:id="47"/>
    </w:p>
    <w:p w14:paraId="167664F6">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方正楷体_GBK" w:hAnsi="方正楷体_GBK" w:eastAsia="方正楷体_GBK" w:cs="方正楷体_GBK"/>
          <w:sz w:val="28"/>
          <w:szCs w:val="28"/>
        </w:rPr>
      </w:pPr>
      <w:bookmarkStart w:id="48" w:name="_Toc19609"/>
      <w:r>
        <w:rPr>
          <w:rFonts w:hint="eastAsia" w:ascii="方正楷体_GBK" w:hAnsi="方正楷体_GBK" w:eastAsia="方正楷体_GBK" w:cs="方正楷体_GBK"/>
          <w:sz w:val="28"/>
          <w:szCs w:val="28"/>
        </w:rPr>
        <w:t>5.3传承大国工匠精神</w:t>
      </w:r>
      <w:bookmarkEnd w:id="48"/>
    </w:p>
    <w:p w14:paraId="1B19A7C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学校以校园文化建设为重要载体，深入传承工匠精神、劳模精神与大国工匠培养理念。通过校园广播、宣传栏、文化墙等阵地，广泛宣传大国工匠、行业劳模先进事迹、邀请行业劳模、技术能手进校园开展专题讲座，分享成长经历与职业感悟。在实训教学中强化工匠精神培养，要求学生精益求精、追求卓越，培养学生严谨细致的职业态度与敬业精神，为学生未来职业发展奠定坚实基础。</w:t>
      </w:r>
    </w:p>
    <w:p w14:paraId="35687D37">
      <w:pPr>
        <w:keepNext w:val="0"/>
        <w:keepLines w:val="0"/>
        <w:pageBreakBefore w:val="0"/>
        <w:widowControl w:val="0"/>
        <w:kinsoku/>
        <w:wordWrap/>
        <w:overflowPunct/>
        <w:topLinePunct w:val="0"/>
        <w:autoSpaceDE/>
        <w:autoSpaceDN/>
        <w:bidi w:val="0"/>
        <w:adjustRightInd/>
        <w:snapToGrid/>
        <w:spacing w:line="520" w:lineRule="exact"/>
        <w:textAlignment w:val="auto"/>
        <w:outlineLvl w:val="0"/>
        <w:rPr>
          <w:rFonts w:hint="eastAsia" w:ascii="方正黑体_GBK" w:hAnsi="方正黑体_GBK" w:eastAsia="方正黑体_GBK" w:cs="方正黑体_GBK"/>
          <w:sz w:val="28"/>
          <w:szCs w:val="28"/>
        </w:rPr>
      </w:pPr>
      <w:bookmarkStart w:id="49" w:name="_Toc25935"/>
      <w:r>
        <w:rPr>
          <w:rFonts w:hint="eastAsia" w:ascii="方正黑体_GBK" w:hAnsi="方正黑体_GBK" w:eastAsia="方正黑体_GBK" w:cs="方正黑体_GBK"/>
          <w:sz w:val="28"/>
          <w:szCs w:val="28"/>
        </w:rPr>
        <w:t>六、国际合作</w:t>
      </w:r>
      <w:bookmarkEnd w:id="49"/>
    </w:p>
    <w:p w14:paraId="3D1377EB">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方正楷体_GBK" w:hAnsi="方正楷体_GBK" w:eastAsia="方正楷体_GBK" w:cs="方正楷体_GBK"/>
          <w:sz w:val="28"/>
          <w:szCs w:val="36"/>
          <w:lang w:val="en-US" w:eastAsia="zh-CN"/>
        </w:rPr>
      </w:pPr>
      <w:bookmarkStart w:id="50" w:name="_Toc7996"/>
      <w:r>
        <w:rPr>
          <w:rFonts w:hint="eastAsia" w:ascii="方正楷体_GBK" w:hAnsi="方正楷体_GBK" w:eastAsia="方正楷体_GBK" w:cs="方正楷体_GBK"/>
          <w:sz w:val="28"/>
          <w:szCs w:val="36"/>
          <w:lang w:val="en-US" w:eastAsia="zh-CN"/>
        </w:rPr>
        <w:t>6.1</w:t>
      </w:r>
      <w:r>
        <w:rPr>
          <w:rFonts w:hint="eastAsia" w:ascii="方正楷体_GBK" w:hAnsi="方正楷体_GBK" w:eastAsia="方正楷体_GBK" w:cs="方正楷体_GBK"/>
          <w:sz w:val="28"/>
          <w:szCs w:val="36"/>
        </w:rPr>
        <w:t>探索起步：当前格局</w:t>
      </w:r>
      <w:bookmarkEnd w:id="50"/>
    </w:p>
    <w:p w14:paraId="1548372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学校积极探索国际合作路径，持续拓宽国际交流渠道，目前国际合作仍处于起步阶段。2025学年，学校暂无国际学生招生，未开展中外合作办学项目。</w:t>
      </w:r>
    </w:p>
    <w:p w14:paraId="1B25AD42">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方正楷体_GBK" w:hAnsi="方正楷体_GBK" w:eastAsia="方正楷体_GBK" w:cs="方正楷体_GBK"/>
          <w:sz w:val="28"/>
          <w:szCs w:val="36"/>
          <w:lang w:val="en-US" w:eastAsia="zh-CN"/>
        </w:rPr>
      </w:pPr>
      <w:bookmarkStart w:id="51" w:name="_Toc18873"/>
      <w:r>
        <w:rPr>
          <w:rFonts w:hint="eastAsia" w:ascii="方正楷体_GBK" w:hAnsi="方正楷体_GBK" w:eastAsia="方正楷体_GBK" w:cs="方正楷体_GBK"/>
          <w:sz w:val="28"/>
          <w:szCs w:val="36"/>
          <w:lang w:val="en-US" w:eastAsia="zh-CN"/>
        </w:rPr>
        <w:t>6.2</w:t>
      </w:r>
      <w:r>
        <w:rPr>
          <w:rFonts w:hint="eastAsia" w:ascii="方正楷体_GBK" w:hAnsi="方正楷体_GBK" w:eastAsia="方正楷体_GBK" w:cs="方正楷体_GBK"/>
          <w:sz w:val="28"/>
          <w:szCs w:val="36"/>
        </w:rPr>
        <w:t>丝路扬帆：发展愿景</w:t>
      </w:r>
      <w:bookmarkEnd w:id="51"/>
    </w:p>
    <w:p w14:paraId="335FC36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未来，学校将紧紧抓住“一带一路”建设机遇，计划加强与“一带一路”沿线国家职业院校、企业的交流合作，积极引进先进职业教育理念与标准，与</w:t>
      </w:r>
      <w:r>
        <w:rPr>
          <w:rFonts w:hint="eastAsia" w:ascii="仿宋" w:hAnsi="仿宋" w:eastAsia="仿宋" w:cs="仿宋"/>
          <w:sz w:val="28"/>
          <w:szCs w:val="36"/>
        </w:rPr>
        <w:t>安徽新祥信息技术有限公司</w:t>
      </w:r>
      <w:r>
        <w:rPr>
          <w:rFonts w:hint="eastAsia" w:ascii="方正仿宋_GBK" w:hAnsi="方正仿宋_GBK" w:eastAsia="方正仿宋_GBK" w:cs="方正仿宋_GBK"/>
          <w:sz w:val="28"/>
          <w:szCs w:val="28"/>
          <w:lang w:val="en-US" w:eastAsia="zh-CN"/>
        </w:rPr>
        <w:t>携手，为乌兹别克斯坦培养数据中心搭建与运维人才，服务在肥、在皖企业“走出去”战略，逐步打造国际化职教品牌，提升国际化办学水平。</w:t>
      </w:r>
    </w:p>
    <w:p w14:paraId="5FBAB21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drawing>
          <wp:inline distT="0" distB="0" distL="114300" distR="114300">
            <wp:extent cx="5264785" cy="2912745"/>
            <wp:effectExtent l="0" t="0" r="0" b="0"/>
            <wp:docPr id="1" name="图片 1" descr="微信图片_20251223171049_46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51223171049_465_1"/>
                    <pic:cNvPicPr>
                      <a:picLocks noChangeAspect="1"/>
                    </pic:cNvPicPr>
                  </pic:nvPicPr>
                  <pic:blipFill>
                    <a:blip r:embed="rId23"/>
                    <a:srcRect t="9484" b="16782"/>
                    <a:stretch>
                      <a:fillRect/>
                    </a:stretch>
                  </pic:blipFill>
                  <pic:spPr>
                    <a:xfrm>
                      <a:off x="0" y="0"/>
                      <a:ext cx="5264785" cy="2912745"/>
                    </a:xfrm>
                    <a:prstGeom prst="rect">
                      <a:avLst/>
                    </a:prstGeom>
                  </pic:spPr>
                </pic:pic>
              </a:graphicData>
            </a:graphic>
          </wp:inline>
        </w:drawing>
      </w:r>
    </w:p>
    <w:p w14:paraId="1A13DE40">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1"/>
        <w:rPr>
          <w:rStyle w:val="14"/>
          <w:rFonts w:hint="eastAsia" w:ascii="方正仿宋_GBK" w:hAnsi="方正仿宋_GBK" w:eastAsia="方正仿宋_GBK" w:cs="方正仿宋_GBK"/>
          <w:b w:val="0"/>
          <w:bCs/>
          <w:sz w:val="28"/>
          <w:szCs w:val="28"/>
          <w:lang w:val="en-US" w:eastAsia="zh-CN"/>
        </w:rPr>
      </w:pPr>
      <w:bookmarkStart w:id="52" w:name="_Toc21541"/>
      <w:r>
        <w:rPr>
          <w:rStyle w:val="14"/>
          <w:rFonts w:hint="eastAsia" w:ascii="方正仿宋_GBK" w:hAnsi="方正仿宋_GBK" w:eastAsia="方正仿宋_GBK" w:cs="方正仿宋_GBK"/>
          <w:b w:val="0"/>
          <w:bCs/>
          <w:sz w:val="28"/>
          <w:szCs w:val="28"/>
          <w:lang w:val="en-US" w:eastAsia="zh-CN"/>
        </w:rPr>
        <w:t>图6.2  与</w:t>
      </w:r>
      <w:r>
        <w:rPr>
          <w:rStyle w:val="14"/>
          <w:rFonts w:hint="eastAsia" w:ascii="方正仿宋_GBK" w:hAnsi="方正仿宋_GBK" w:eastAsia="方正仿宋_GBK" w:cs="方正仿宋_GBK"/>
          <w:b w:val="0"/>
          <w:bCs/>
          <w:sz w:val="28"/>
          <w:szCs w:val="28"/>
        </w:rPr>
        <w:t>安徽新祥信息技术有限公司</w:t>
      </w:r>
      <w:r>
        <w:rPr>
          <w:rStyle w:val="14"/>
          <w:rFonts w:hint="eastAsia" w:ascii="方正仿宋_GBK" w:hAnsi="方正仿宋_GBK" w:eastAsia="方正仿宋_GBK" w:cs="方正仿宋_GBK"/>
          <w:b w:val="0"/>
          <w:bCs/>
          <w:sz w:val="28"/>
          <w:szCs w:val="28"/>
          <w:lang w:val="en-US" w:eastAsia="zh-CN"/>
        </w:rPr>
        <w:t>合作为乌兹别克斯坦远程培养数据中心搭建与运维人才</w:t>
      </w:r>
      <w:bookmarkEnd w:id="52"/>
    </w:p>
    <w:p w14:paraId="67AA8CF7">
      <w:pPr>
        <w:keepNext w:val="0"/>
        <w:keepLines w:val="0"/>
        <w:pageBreakBefore w:val="0"/>
        <w:widowControl w:val="0"/>
        <w:kinsoku/>
        <w:wordWrap/>
        <w:overflowPunct/>
        <w:topLinePunct w:val="0"/>
        <w:autoSpaceDE/>
        <w:autoSpaceDN/>
        <w:bidi w:val="0"/>
        <w:adjustRightInd/>
        <w:snapToGrid/>
        <w:spacing w:line="520" w:lineRule="exact"/>
        <w:textAlignment w:val="auto"/>
        <w:outlineLvl w:val="0"/>
        <w:rPr>
          <w:rFonts w:hint="eastAsia" w:ascii="方正黑体_GBK" w:hAnsi="方正黑体_GBK" w:eastAsia="方正黑体_GBK" w:cs="方正黑体_GBK"/>
          <w:sz w:val="28"/>
          <w:szCs w:val="28"/>
        </w:rPr>
      </w:pPr>
      <w:bookmarkStart w:id="53" w:name="_Toc7979"/>
      <w:r>
        <w:rPr>
          <w:rFonts w:hint="eastAsia" w:ascii="方正黑体_GBK" w:hAnsi="方正黑体_GBK" w:eastAsia="方正黑体_GBK" w:cs="方正黑体_GBK"/>
          <w:sz w:val="28"/>
          <w:szCs w:val="28"/>
        </w:rPr>
        <w:t>七、发展保障</w:t>
      </w:r>
      <w:bookmarkEnd w:id="53"/>
    </w:p>
    <w:p w14:paraId="47CDEBB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学校坚持党建引领办学方向，严格落实国家及省级职业教育政策，加大经费投入，改善办学条件，健全质量保障体系。2025年，固定资产总值达14469.80万元，专任教师培训覆盖率100%，开展教学督导检查40次，为学校高质量发展提供了全方位保障。</w:t>
      </w:r>
    </w:p>
    <w:p w14:paraId="1C956944">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方正楷体_GBK" w:hAnsi="方正楷体_GBK" w:eastAsia="方正楷体_GBK" w:cs="方正楷体_GBK"/>
          <w:sz w:val="28"/>
          <w:szCs w:val="28"/>
        </w:rPr>
      </w:pPr>
      <w:bookmarkStart w:id="54" w:name="_Toc10084"/>
      <w:r>
        <w:rPr>
          <w:rFonts w:hint="eastAsia" w:ascii="方正楷体_GBK" w:hAnsi="方正楷体_GBK" w:eastAsia="方正楷体_GBK" w:cs="方正楷体_GBK"/>
          <w:sz w:val="28"/>
          <w:szCs w:val="28"/>
        </w:rPr>
        <w:t>7.1党建引领方向</w:t>
      </w:r>
      <w:bookmarkEnd w:id="54"/>
    </w:p>
    <w:p w14:paraId="5040E9C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学校坚持党建引领办学方向，深入贯彻党的二十大精神、二十届三中全会精神，严格落实党委领导下校长负责制。加强基层党组织建设，教职工中中共党员30人，共青团员57人，其中专任教师中中共党员25人，共青团员52人。充分发挥党组织战斗堡垒作用与党员先锋模范作用，引领学校各项事业高质量发展，确保职业教育正确发展方向。</w:t>
      </w:r>
    </w:p>
    <w:p w14:paraId="1C49C5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drawing>
          <wp:inline distT="0" distB="0" distL="114300" distR="114300">
            <wp:extent cx="5267960" cy="2926080"/>
            <wp:effectExtent l="0" t="0" r="0" b="0"/>
            <wp:docPr id="23" name="图片 23" descr="微信图片_20250918165501_437_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微信图片_20250918165501_437_34"/>
                    <pic:cNvPicPr>
                      <a:picLocks noChangeAspect="1"/>
                    </pic:cNvPicPr>
                  </pic:nvPicPr>
                  <pic:blipFill>
                    <a:blip r:embed="rId24"/>
                    <a:srcRect t="25928"/>
                    <a:stretch>
                      <a:fillRect/>
                    </a:stretch>
                  </pic:blipFill>
                  <pic:spPr>
                    <a:xfrm>
                      <a:off x="0" y="0"/>
                      <a:ext cx="5267960" cy="2926080"/>
                    </a:xfrm>
                    <a:prstGeom prst="rect">
                      <a:avLst/>
                    </a:prstGeom>
                  </pic:spPr>
                </pic:pic>
              </a:graphicData>
            </a:graphic>
          </wp:inline>
        </w:drawing>
      </w:r>
    </w:p>
    <w:p w14:paraId="215226F7">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1"/>
        <w:rPr>
          <w:rFonts w:hint="default" w:ascii="方正仿宋_GBK" w:hAnsi="方正仿宋_GBK" w:eastAsia="方正仿宋_GBK" w:cs="方正仿宋_GBK"/>
          <w:sz w:val="28"/>
          <w:szCs w:val="28"/>
          <w:lang w:val="en-US" w:eastAsia="zh-CN"/>
        </w:rPr>
      </w:pPr>
      <w:bookmarkStart w:id="55" w:name="_Toc6729"/>
      <w:r>
        <w:rPr>
          <w:rFonts w:hint="eastAsia" w:ascii="方正仿宋_GBK" w:hAnsi="方正仿宋_GBK" w:eastAsia="方正仿宋_GBK" w:cs="方正仿宋_GBK"/>
          <w:sz w:val="28"/>
          <w:szCs w:val="28"/>
          <w:lang w:val="en-US" w:eastAsia="zh-CN"/>
        </w:rPr>
        <w:t>图7.1  学校党支部组织党员学习活动</w:t>
      </w:r>
      <w:bookmarkEnd w:id="55"/>
    </w:p>
    <w:p w14:paraId="5C3AEE20">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方正楷体_GBK" w:hAnsi="方正楷体_GBK" w:eastAsia="方正楷体_GBK" w:cs="方正楷体_GBK"/>
          <w:sz w:val="28"/>
          <w:szCs w:val="28"/>
        </w:rPr>
      </w:pPr>
      <w:bookmarkStart w:id="56" w:name="_Toc2205"/>
      <w:r>
        <w:rPr>
          <w:rFonts w:hint="eastAsia" w:ascii="方正楷体_GBK" w:hAnsi="方正楷体_GBK" w:eastAsia="方正楷体_GBK" w:cs="方正楷体_GBK"/>
          <w:sz w:val="28"/>
          <w:szCs w:val="28"/>
        </w:rPr>
        <w:t>7.2强化政策落实</w:t>
      </w:r>
      <w:bookmarkEnd w:id="56"/>
    </w:p>
    <w:p w14:paraId="3C13CC6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学校严格落实《职业教育法》等国家层面重大政策及省级层面顶层设计与保障要求，依法依规办学。建立健全各项管理制度，规范办学行为，保障教育教学秩序。积极响应安徽省职业教育改革相关政策，稳步推进人才培养模式改革、产教融合、师资队伍建设等重点工作，确保各项政策落地见效，推动学校办学规范化、科学化发展。</w:t>
      </w:r>
    </w:p>
    <w:p w14:paraId="2C368C57">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方正楷体_GBK" w:hAnsi="方正楷体_GBK" w:eastAsia="方正楷体_GBK" w:cs="方正楷体_GBK"/>
          <w:sz w:val="28"/>
          <w:szCs w:val="28"/>
        </w:rPr>
      </w:pPr>
      <w:bookmarkStart w:id="57" w:name="_Toc27527"/>
      <w:r>
        <w:rPr>
          <w:rFonts w:hint="eastAsia" w:ascii="方正楷体_GBK" w:hAnsi="方正楷体_GBK" w:eastAsia="方正楷体_GBK" w:cs="方正楷体_GBK"/>
          <w:sz w:val="28"/>
          <w:szCs w:val="28"/>
        </w:rPr>
        <w:t>7.3夯实经费支撑</w:t>
      </w:r>
      <w:bookmarkEnd w:id="57"/>
    </w:p>
    <w:p w14:paraId="7E1E8CD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学校经费保障充足，2025学年固定资产总值14469.80万元，较2024年的10349.80万元增长39.81%，增长幅度显著。教学科研实习仪器设备资产值699.80万元，2025年新增120万元，经费投入持续向教学一线、实训基地建设、师资培训等重点领域倾斜，为学校内涵发展、办学质量提升提供了坚实的经费支撑。（</w:t>
      </w:r>
      <w:r>
        <w:rPr>
          <w:rFonts w:hint="eastAsia" w:ascii="方正楷体_GBK" w:hAnsi="方正楷体_GBK" w:eastAsia="方正楷体_GBK" w:cs="方正楷体_GBK"/>
          <w:sz w:val="28"/>
          <w:szCs w:val="28"/>
          <w:lang w:val="en-US" w:eastAsia="zh-CN"/>
        </w:rPr>
        <w:t>数据来源：合肥东辰职业学校2025年度财务统计报表</w:t>
      </w:r>
      <w:r>
        <w:rPr>
          <w:rFonts w:hint="eastAsia" w:ascii="方正仿宋_GBK" w:hAnsi="方正仿宋_GBK" w:eastAsia="方正仿宋_GBK" w:cs="方正仿宋_GBK"/>
          <w:sz w:val="28"/>
          <w:szCs w:val="28"/>
          <w:lang w:val="en-US" w:eastAsia="zh-CN"/>
        </w:rPr>
        <w:t>）</w:t>
      </w:r>
    </w:p>
    <w:p w14:paraId="7EF73831">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方正楷体_GBK" w:hAnsi="方正楷体_GBK" w:eastAsia="方正楷体_GBK" w:cs="方正楷体_GBK"/>
          <w:sz w:val="28"/>
          <w:szCs w:val="28"/>
        </w:rPr>
      </w:pPr>
      <w:bookmarkStart w:id="58" w:name="_Toc28748"/>
      <w:r>
        <w:rPr>
          <w:rFonts w:hint="eastAsia" w:ascii="方正楷体_GBK" w:hAnsi="方正楷体_GBK" w:eastAsia="方正楷体_GBK" w:cs="方正楷体_GBK"/>
          <w:sz w:val="28"/>
          <w:szCs w:val="28"/>
        </w:rPr>
        <w:t>7.4完善条件保障</w:t>
      </w:r>
      <w:bookmarkEnd w:id="58"/>
    </w:p>
    <w:p w14:paraId="64F4EA6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学校持续改善办学条件，提升关键办学能力。2025学年，校舍建筑面积保持31520平方米，各类教学设施设备齐全，能充分满足教育教学需求。信息化建设不断推进，网络多媒体教室实现全覆盖，数字资源丰富，数字化技术广泛应用于教学、管理与服务等各个环节。师资队伍专业能力持续提升，办学条件保障水平不断提高。</w:t>
      </w:r>
    </w:p>
    <w:p w14:paraId="3DD3A07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drawing>
          <wp:inline distT="0" distB="0" distL="114300" distR="114300">
            <wp:extent cx="5267960" cy="2799715"/>
            <wp:effectExtent l="0" t="0" r="8890" b="635"/>
            <wp:docPr id="28" name="图片 28" descr="微信图片_2025-12-11_084725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微信图片_2025-12-11_084725_268"/>
                    <pic:cNvPicPr>
                      <a:picLocks noChangeAspect="1"/>
                    </pic:cNvPicPr>
                  </pic:nvPicPr>
                  <pic:blipFill>
                    <a:blip r:embed="rId25"/>
                    <a:stretch>
                      <a:fillRect/>
                    </a:stretch>
                  </pic:blipFill>
                  <pic:spPr>
                    <a:xfrm>
                      <a:off x="0" y="0"/>
                      <a:ext cx="5267960" cy="2799715"/>
                    </a:xfrm>
                    <a:prstGeom prst="rect">
                      <a:avLst/>
                    </a:prstGeom>
                  </pic:spPr>
                </pic:pic>
              </a:graphicData>
            </a:graphic>
          </wp:inline>
        </w:drawing>
      </w:r>
    </w:p>
    <w:p w14:paraId="56DD013D">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1"/>
        <w:rPr>
          <w:rFonts w:hint="eastAsia" w:ascii="方正仿宋_GBK" w:hAnsi="方正仿宋_GBK" w:eastAsia="方正仿宋_GBK" w:cs="方正仿宋_GBK"/>
          <w:sz w:val="28"/>
          <w:szCs w:val="28"/>
          <w:lang w:val="en-US" w:eastAsia="zh-CN"/>
        </w:rPr>
      </w:pPr>
      <w:bookmarkStart w:id="59" w:name="_Toc29667"/>
      <w:r>
        <w:rPr>
          <w:rFonts w:hint="eastAsia" w:ascii="方正仿宋_GBK" w:hAnsi="方正仿宋_GBK" w:eastAsia="方正仿宋_GBK" w:cs="方正仿宋_GBK"/>
          <w:sz w:val="28"/>
          <w:szCs w:val="28"/>
          <w:lang w:val="en-US" w:eastAsia="zh-CN"/>
        </w:rPr>
        <w:t>图7.4-1  电子商务专业学生在电商直播教室实训</w:t>
      </w:r>
      <w:bookmarkEnd w:id="59"/>
    </w:p>
    <w:p w14:paraId="1FF3B5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方正仿宋_GBK" w:hAnsi="方正仿宋_GBK" w:eastAsia="方正仿宋_GBK" w:cs="方正仿宋_GBK"/>
          <w:sz w:val="28"/>
          <w:szCs w:val="28"/>
          <w:lang w:val="en-US" w:eastAsia="zh-CN"/>
        </w:rPr>
      </w:pPr>
      <w:r>
        <w:rPr>
          <w:rFonts w:hint="default" w:ascii="方正仿宋_GBK" w:hAnsi="方正仿宋_GBK" w:eastAsia="方正仿宋_GBK" w:cs="方正仿宋_GBK"/>
          <w:sz w:val="28"/>
          <w:szCs w:val="28"/>
          <w:lang w:val="en-US" w:eastAsia="zh-CN"/>
        </w:rPr>
        <w:drawing>
          <wp:inline distT="0" distB="0" distL="114300" distR="114300">
            <wp:extent cx="5270500" cy="2923540"/>
            <wp:effectExtent l="0" t="0" r="6350" b="10160"/>
            <wp:docPr id="29" name="图片 29" descr="C:/Users/Administrator/Desktop/年报/城轨实训.jpg城轨实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C:/Users/Administrator/Desktop/年报/城轨实训.jpg城轨实训"/>
                    <pic:cNvPicPr>
                      <a:picLocks noChangeAspect="1"/>
                    </pic:cNvPicPr>
                  </pic:nvPicPr>
                  <pic:blipFill>
                    <a:blip r:embed="rId26"/>
                    <a:srcRect t="8343" b="8343"/>
                    <a:stretch>
                      <a:fillRect/>
                    </a:stretch>
                  </pic:blipFill>
                  <pic:spPr>
                    <a:xfrm>
                      <a:off x="0" y="0"/>
                      <a:ext cx="5270500" cy="2923540"/>
                    </a:xfrm>
                    <a:prstGeom prst="rect">
                      <a:avLst/>
                    </a:prstGeom>
                  </pic:spPr>
                </pic:pic>
              </a:graphicData>
            </a:graphic>
          </wp:inline>
        </w:drawing>
      </w:r>
    </w:p>
    <w:p w14:paraId="00F5621F">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1"/>
        <w:rPr>
          <w:rFonts w:hint="default" w:ascii="方正仿宋_GBK" w:hAnsi="方正仿宋_GBK" w:eastAsia="方正仿宋_GBK" w:cs="方正仿宋_GBK"/>
          <w:sz w:val="28"/>
          <w:szCs w:val="28"/>
          <w:lang w:val="en-US" w:eastAsia="zh-CN"/>
        </w:rPr>
      </w:pPr>
      <w:bookmarkStart w:id="60" w:name="_Toc9248"/>
      <w:r>
        <w:rPr>
          <w:rFonts w:hint="eastAsia" w:ascii="方正仿宋_GBK" w:hAnsi="方正仿宋_GBK" w:eastAsia="方正仿宋_GBK" w:cs="方正仿宋_GBK"/>
          <w:sz w:val="28"/>
          <w:szCs w:val="28"/>
          <w:lang w:val="en-US" w:eastAsia="zh-CN"/>
        </w:rPr>
        <w:t>图7.4-2  城市轨道交通运营管理专业学生在实训基地实训</w:t>
      </w:r>
      <w:bookmarkEnd w:id="60"/>
    </w:p>
    <w:p w14:paraId="07C204DD">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方正楷体_GBK" w:hAnsi="方正楷体_GBK" w:eastAsia="方正楷体_GBK" w:cs="方正楷体_GBK"/>
          <w:sz w:val="28"/>
          <w:szCs w:val="28"/>
        </w:rPr>
      </w:pPr>
      <w:bookmarkStart w:id="61" w:name="_Toc20559"/>
      <w:r>
        <w:rPr>
          <w:rFonts w:hint="eastAsia" w:ascii="方正楷体_GBK" w:hAnsi="方正楷体_GBK" w:eastAsia="方正楷体_GBK" w:cs="方正楷体_GBK"/>
          <w:sz w:val="28"/>
          <w:szCs w:val="28"/>
        </w:rPr>
        <w:t>7.5健全质量体系</w:t>
      </w:r>
      <w:bookmarkEnd w:id="61"/>
    </w:p>
    <w:p w14:paraId="39D10EB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学校建立健全质量保障体系，严格落实职业教育国家教学标准，推进教学诊断与改进工作。严格执行年报制度，定期开展教学质量评估，及时发现问题并整改。构建“学校—专业—课程”三级质量保障体系，定期召开质量分析会、建立“教师教学质量评价、学生学习质量评价、课程建设质量评价、毕业生质量跟踪评价”四维评价机制，采用学生评教、同行互评、企业评价、督导评价相结合的方式，全面监控教学质量。</w:t>
      </w:r>
    </w:p>
    <w:p w14:paraId="31576D08">
      <w:pPr>
        <w:keepNext w:val="0"/>
        <w:keepLines w:val="0"/>
        <w:pageBreakBefore w:val="0"/>
        <w:widowControl w:val="0"/>
        <w:kinsoku/>
        <w:wordWrap/>
        <w:overflowPunct/>
        <w:topLinePunct w:val="0"/>
        <w:autoSpaceDE/>
        <w:autoSpaceDN/>
        <w:bidi w:val="0"/>
        <w:adjustRightInd/>
        <w:snapToGrid/>
        <w:spacing w:line="520" w:lineRule="exact"/>
        <w:textAlignment w:val="auto"/>
        <w:outlineLvl w:val="0"/>
        <w:rPr>
          <w:rFonts w:hint="eastAsia" w:ascii="方正黑体_GBK" w:hAnsi="方正黑体_GBK" w:eastAsia="方正黑体_GBK" w:cs="方正黑体_GBK"/>
          <w:sz w:val="28"/>
          <w:szCs w:val="28"/>
          <w:lang w:val="en-US" w:eastAsia="zh-CN"/>
        </w:rPr>
      </w:pPr>
      <w:bookmarkStart w:id="62" w:name="_Toc2875"/>
      <w:r>
        <w:rPr>
          <w:rFonts w:hint="eastAsia" w:ascii="方正黑体_GBK" w:hAnsi="方正黑体_GBK" w:eastAsia="方正黑体_GBK" w:cs="方正黑体_GBK"/>
          <w:sz w:val="28"/>
          <w:szCs w:val="28"/>
          <w:lang w:val="en-US" w:eastAsia="zh-CN"/>
        </w:rPr>
        <w:t>案例8：三级质量保障精准提升办学水平</w:t>
      </w:r>
      <w:bookmarkEnd w:id="62"/>
    </w:p>
    <w:p w14:paraId="740C090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为提升办学治校水平，破解教学质量监控不精准、整改不到位等问题。学校构建“学校—专业—课程”三级质量保障体系，明确各层级质量责任、建立四维评价机制，综合运用多种评价方式、定期开展教学督导检查，全年开展教学督导检查40次，听课评课200余节、对毕业生开展跟踪调查，收集用人单位意见建议。及时整改教学问题32个，根据用人单位反馈优化人才培养方案，调整课程设置5门，人才培养针对性与实效性显著提升，2025年用人单位满意度达92%。健全的质量保障体系是办学质量持续提升的核心支撑。该质量保障体系已常态化运行，将持续优化评价指标与流程。</w:t>
      </w:r>
    </w:p>
    <w:p w14:paraId="54E74C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drawing>
          <wp:inline distT="0" distB="0" distL="114300" distR="114300">
            <wp:extent cx="4984115" cy="2962910"/>
            <wp:effectExtent l="0" t="0" r="0" b="0"/>
            <wp:docPr id="24" name="图片 24" descr="微信图片_2025-12-11_104732_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微信图片_2025-12-11_104732_037"/>
                    <pic:cNvPicPr>
                      <a:picLocks noChangeAspect="1"/>
                    </pic:cNvPicPr>
                  </pic:nvPicPr>
                  <pic:blipFill>
                    <a:blip r:embed="rId27"/>
                    <a:srcRect t="15624" r="5365"/>
                    <a:stretch>
                      <a:fillRect/>
                    </a:stretch>
                  </pic:blipFill>
                  <pic:spPr>
                    <a:xfrm>
                      <a:off x="0" y="0"/>
                      <a:ext cx="4984115" cy="2962910"/>
                    </a:xfrm>
                    <a:prstGeom prst="rect">
                      <a:avLst/>
                    </a:prstGeom>
                  </pic:spPr>
                </pic:pic>
              </a:graphicData>
            </a:graphic>
          </wp:inline>
        </w:drawing>
      </w:r>
    </w:p>
    <w:p w14:paraId="288CFB2B">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1"/>
        <w:rPr>
          <w:rFonts w:hint="default" w:ascii="方正仿宋_GBK" w:hAnsi="方正仿宋_GBK" w:eastAsia="方正仿宋_GBK" w:cs="方正仿宋_GBK"/>
          <w:sz w:val="28"/>
          <w:szCs w:val="28"/>
          <w:lang w:val="en-US"/>
        </w:rPr>
      </w:pPr>
      <w:bookmarkStart w:id="63" w:name="_Toc31102"/>
      <w:r>
        <w:rPr>
          <w:rFonts w:hint="eastAsia" w:ascii="方正仿宋_GBK" w:hAnsi="方正仿宋_GBK" w:eastAsia="方正仿宋_GBK" w:cs="方正仿宋_GBK"/>
          <w:sz w:val="28"/>
          <w:szCs w:val="28"/>
          <w:lang w:val="en-US" w:eastAsia="zh-CN"/>
        </w:rPr>
        <w:t>图7.5  学校组织2025年合肥市第8次中职学校校级公开课</w:t>
      </w:r>
      <w:bookmarkEnd w:id="63"/>
    </w:p>
    <w:p w14:paraId="1BB039A8">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方正黑体_GBK" w:hAnsi="方正黑体_GBK" w:eastAsia="方正黑体_GBK" w:cs="方正黑体_GBK"/>
          <w:sz w:val="32"/>
          <w:szCs w:val="32"/>
        </w:rPr>
      </w:pPr>
    </w:p>
    <w:p w14:paraId="233A1158">
      <w:pPr>
        <w:keepNext w:val="0"/>
        <w:keepLines w:val="0"/>
        <w:pageBreakBefore w:val="0"/>
        <w:widowControl w:val="0"/>
        <w:kinsoku/>
        <w:wordWrap/>
        <w:overflowPunct/>
        <w:topLinePunct w:val="0"/>
        <w:autoSpaceDE/>
        <w:autoSpaceDN/>
        <w:bidi w:val="0"/>
        <w:adjustRightInd/>
        <w:snapToGrid/>
        <w:spacing w:line="520" w:lineRule="exact"/>
        <w:textAlignment w:val="auto"/>
        <w:outlineLvl w:val="0"/>
        <w:rPr>
          <w:rFonts w:hint="eastAsia" w:ascii="方正黑体_GBK" w:hAnsi="方正黑体_GBK" w:eastAsia="方正黑体_GBK" w:cs="方正黑体_GBK"/>
          <w:sz w:val="32"/>
          <w:szCs w:val="32"/>
        </w:rPr>
      </w:pPr>
      <w:bookmarkStart w:id="64" w:name="_Toc31059"/>
      <w:r>
        <w:rPr>
          <w:rFonts w:hint="eastAsia" w:ascii="方正黑体_GBK" w:hAnsi="方正黑体_GBK" w:eastAsia="方正黑体_GBK" w:cs="方正黑体_GBK"/>
          <w:sz w:val="32"/>
          <w:szCs w:val="32"/>
        </w:rPr>
        <w:t>八、挑战与展望</w:t>
      </w:r>
      <w:bookmarkEnd w:id="64"/>
    </w:p>
    <w:p w14:paraId="6E1A59A6">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方正楷体_GBK" w:hAnsi="方正楷体_GBK" w:eastAsia="方正楷体_GBK" w:cs="方正楷体_GBK"/>
          <w:sz w:val="28"/>
          <w:szCs w:val="28"/>
        </w:rPr>
      </w:pPr>
      <w:bookmarkStart w:id="65" w:name="_Toc25322"/>
      <w:r>
        <w:rPr>
          <w:rFonts w:hint="eastAsia" w:ascii="方正楷体_GBK" w:hAnsi="方正楷体_GBK" w:eastAsia="方正楷体_GBK" w:cs="方正楷体_GBK"/>
          <w:sz w:val="28"/>
          <w:szCs w:val="28"/>
        </w:rPr>
        <w:t>8.1面临挑战</w:t>
      </w:r>
      <w:bookmarkEnd w:id="65"/>
    </w:p>
    <w:p w14:paraId="1545DDD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2025年，学校在发展过程中仍面临一些亟待解决的挑战。师资队伍结构有待进一步优化，高职称、高学历教师比例偏低，与办学发展需求仍有差距、产教融合深度不够，在技术研发、成果转化等深层次合作方面有待加强，部分合作企业参与积极性不高，协同育人机制仍需完善、国际合作基础薄弱，目前无实质性国际合作项目，国际化办学水平有待进一步提升。</w:t>
      </w:r>
    </w:p>
    <w:p w14:paraId="51DF6349">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方正楷体_GBK" w:hAnsi="方正楷体_GBK" w:eastAsia="方正楷体_GBK" w:cs="方正楷体_GBK"/>
          <w:sz w:val="28"/>
          <w:szCs w:val="28"/>
        </w:rPr>
      </w:pPr>
      <w:bookmarkStart w:id="66" w:name="_Toc20494"/>
      <w:r>
        <w:rPr>
          <w:rFonts w:hint="eastAsia" w:ascii="方正楷体_GBK" w:hAnsi="方正楷体_GBK" w:eastAsia="方正楷体_GBK" w:cs="方正楷体_GBK"/>
          <w:sz w:val="28"/>
          <w:szCs w:val="28"/>
        </w:rPr>
        <w:t>8.2未来展望</w:t>
      </w:r>
      <w:bookmarkEnd w:id="66"/>
    </w:p>
    <w:p w14:paraId="69082C0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针对面临的挑战，学校制定了明确的未来发展规划。加强师资队伍建设，通过引进、培养、聘用等多种方式，提升高职称、高学历教师比例、建立常态化教师企业实践机制，每年选派不少于30名教师赴企业挂职锻炼。深化产教融合校企合作，拓展与企业合作深度，共建产业学院、完善校企协同育人机制，提高企业参与办学的积极性与主动性，实现校企互利共赢。推进专业内涵建设，重点建设新能源汽车运用与维修、电子商务等特色专业，打造1-2个市级重点专业、加强课程体系改革，开发一批校企合作特色课程与实训教材。拓展国际合作交流，争取开展中外合作办学项目1-2个、推进“双语+职业技能”培训，服务企业“走出去”，提升学校国际化办学水平。</w:t>
      </w:r>
    </w:p>
    <w:p w14:paraId="338A0AB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黑体_GBK" w:hAnsi="方正黑体_GBK" w:eastAsia="方正黑体_GBK" w:cs="方正黑体_GBK"/>
          <w:sz w:val="32"/>
          <w:szCs w:val="32"/>
        </w:rPr>
      </w:pPr>
    </w:p>
    <w:p w14:paraId="2705940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黑体_GBK" w:hAnsi="方正黑体_GBK" w:eastAsia="方正黑体_GBK" w:cs="方正黑体_GBK"/>
          <w:sz w:val="32"/>
          <w:szCs w:val="32"/>
        </w:rPr>
      </w:pPr>
    </w:p>
    <w:p w14:paraId="7AA68325">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合肥东辰职业学校</w:t>
      </w:r>
    </w:p>
    <w:p w14:paraId="0D237F4C">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2025年12月10日</w:t>
      </w:r>
    </w:p>
    <w:p w14:paraId="1B38122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黑体_GBK" w:hAnsi="方正黑体_GBK" w:eastAsia="方正黑体_GBK" w:cs="方正黑体_GBK"/>
          <w:sz w:val="32"/>
          <w:szCs w:val="32"/>
        </w:rPr>
      </w:pPr>
    </w:p>
    <w:p w14:paraId="20C2C90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黑体_GBK" w:hAnsi="方正黑体_GBK" w:eastAsia="方正黑体_GBK" w:cs="方正黑体_GBK"/>
          <w:sz w:val="32"/>
          <w:szCs w:val="32"/>
        </w:rPr>
      </w:pPr>
    </w:p>
    <w:p w14:paraId="4CE3D8E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黑体_GBK" w:hAnsi="方正黑体_GBK" w:eastAsia="方正黑体_GBK" w:cs="方正黑体_GBK"/>
          <w:sz w:val="32"/>
          <w:szCs w:val="32"/>
        </w:rPr>
      </w:pPr>
    </w:p>
    <w:p w14:paraId="2E1E22BD">
      <w:pPr>
        <w:keepNext w:val="0"/>
        <w:keepLines w:val="0"/>
        <w:pageBreakBefore w:val="0"/>
        <w:widowControl w:val="0"/>
        <w:kinsoku/>
        <w:wordWrap/>
        <w:overflowPunct/>
        <w:topLinePunct w:val="0"/>
        <w:autoSpaceDE/>
        <w:autoSpaceDN/>
        <w:bidi w:val="0"/>
        <w:adjustRightInd/>
        <w:snapToGrid/>
        <w:spacing w:line="520" w:lineRule="exact"/>
        <w:textAlignment w:val="auto"/>
        <w:outlineLvl w:val="0"/>
        <w:rPr>
          <w:rFonts w:hint="eastAsia" w:ascii="方正黑体_GBK" w:hAnsi="方正黑体_GBK" w:eastAsia="方正黑体_GBK" w:cs="方正黑体_GBK"/>
          <w:sz w:val="32"/>
          <w:szCs w:val="32"/>
        </w:rPr>
      </w:pPr>
      <w:bookmarkStart w:id="67" w:name="_Toc7000"/>
      <w:r>
        <w:rPr>
          <w:rFonts w:hint="eastAsia" w:ascii="方正黑体_GBK" w:hAnsi="方正黑体_GBK" w:eastAsia="方正黑体_GBK" w:cs="方正黑体_GBK"/>
          <w:sz w:val="32"/>
          <w:szCs w:val="32"/>
        </w:rPr>
        <w:t>附件</w:t>
      </w:r>
      <w:bookmarkEnd w:id="67"/>
    </w:p>
    <w:p w14:paraId="04CA4908">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0"/>
        <w:rPr>
          <w:rFonts w:hint="eastAsia" w:ascii="方正仿宋_GBK" w:hAnsi="方正仿宋_GBK" w:eastAsia="方正仿宋_GBK" w:cs="方正仿宋_GBK"/>
          <w:sz w:val="28"/>
          <w:szCs w:val="28"/>
        </w:rPr>
      </w:pPr>
      <w:bookmarkStart w:id="68" w:name="_Toc4110"/>
      <w:r>
        <w:rPr>
          <w:rFonts w:hint="eastAsia" w:ascii="方正楷体_GBK" w:hAnsi="方正楷体_GBK" w:eastAsia="方正楷体_GBK" w:cs="方正楷体_GBK"/>
          <w:sz w:val="28"/>
          <w:szCs w:val="28"/>
        </w:rPr>
        <w:t>合肥东辰职业学校2025年度市级及以上技能竞赛获奖名单</w:t>
      </w:r>
      <w:bookmarkEnd w:id="68"/>
    </w:p>
    <w:p w14:paraId="677323CD">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1"/>
        <w:rPr>
          <w:rFonts w:hint="eastAsia" w:ascii="方正仿宋_GBK" w:hAnsi="方正仿宋_GBK" w:eastAsia="方正仿宋_GBK" w:cs="方正仿宋_GBK"/>
          <w:sz w:val="28"/>
          <w:szCs w:val="28"/>
        </w:rPr>
      </w:pPr>
      <w:bookmarkStart w:id="69" w:name="_Toc16925"/>
      <w:r>
        <w:rPr>
          <w:rStyle w:val="17"/>
          <w:rFonts w:hint="eastAsia" w:ascii="方正仿宋_GBK" w:hAnsi="方正仿宋_GBK" w:eastAsia="方正仿宋_GBK" w:cs="方正仿宋_GBK"/>
          <w:b/>
          <w:bCs/>
          <w:sz w:val="28"/>
          <w:szCs w:val="28"/>
          <w:lang w:val="en-US" w:eastAsia="zh-CN" w:bidi="ar"/>
        </w:rPr>
        <w:t>2024-2025年度</w:t>
      </w:r>
      <w:r>
        <w:rPr>
          <w:rStyle w:val="18"/>
          <w:rFonts w:hint="eastAsia" w:ascii="方正仿宋_GBK" w:hAnsi="方正仿宋_GBK" w:eastAsia="方正仿宋_GBK" w:cs="方正仿宋_GBK"/>
          <w:b/>
          <w:bCs/>
          <w:sz w:val="28"/>
          <w:szCs w:val="28"/>
          <w:lang w:val="en-US" w:eastAsia="zh-CN" w:bidi="ar"/>
        </w:rPr>
        <w:t>安徽省职业学校技能大赛（中职组）获奖名单</w:t>
      </w:r>
      <w:bookmarkEnd w:id="69"/>
    </w:p>
    <w:tbl>
      <w:tblPr>
        <w:tblStyle w:val="12"/>
        <w:tblW w:w="484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653"/>
        <w:gridCol w:w="3013"/>
        <w:gridCol w:w="1188"/>
        <w:gridCol w:w="1412"/>
      </w:tblGrid>
      <w:tr w14:paraId="2FFB0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6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B6164">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参赛项目</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67879">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选手姓名</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B2644">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奖次</w:t>
            </w:r>
          </w:p>
        </w:tc>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18561">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指导老师</w:t>
            </w:r>
          </w:p>
        </w:tc>
      </w:tr>
      <w:tr w14:paraId="1E420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7C1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电子商务运营</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BBE8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朱智翔、马心悦、焦唯婧、王悦</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412E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一等奖</w:t>
            </w:r>
          </w:p>
        </w:tc>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AD6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邵青青</w:t>
            </w:r>
          </w:p>
        </w:tc>
      </w:tr>
      <w:tr w14:paraId="44C11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6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0DFA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导游服务（教师赛）</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A98B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黄奕朵</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DAB4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一等奖</w:t>
            </w:r>
          </w:p>
        </w:tc>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0FA1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胡义超</w:t>
            </w:r>
          </w:p>
        </w:tc>
      </w:tr>
      <w:tr w14:paraId="2AC6B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6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F925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声乐、器乐表演</w:t>
            </w:r>
          </w:p>
        </w:tc>
        <w:tc>
          <w:tcPr>
            <w:tcW w:w="18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C134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王静怡、王睿妍、陈乐乐、王升奥懿、王梦瑶、范佳怡、张司涵、沙滢滢、吴子豪</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591F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一等奖</w:t>
            </w:r>
          </w:p>
        </w:tc>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0B8E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何家贝</w:t>
            </w:r>
          </w:p>
        </w:tc>
      </w:tr>
      <w:tr w14:paraId="06F92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91E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城市轨道交通运营与维护</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39BC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邓远鹏、李从鑫</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AA66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一等奖</w:t>
            </w:r>
          </w:p>
        </w:tc>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4995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许正红</w:t>
            </w:r>
          </w:p>
        </w:tc>
      </w:tr>
      <w:tr w14:paraId="0E012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46D2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网络安全</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83B4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钱雨彤、王毅</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9451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一等奖</w:t>
            </w:r>
          </w:p>
        </w:tc>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48DE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倪红国</w:t>
            </w:r>
          </w:p>
        </w:tc>
      </w:tr>
      <w:tr w14:paraId="1D6C8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1984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Python程序开发（学生赛）</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91F9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徐凌曦</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C08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一等奖</w:t>
            </w:r>
          </w:p>
        </w:tc>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89B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陈冰洁</w:t>
            </w:r>
          </w:p>
        </w:tc>
      </w:tr>
      <w:tr w14:paraId="60572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E897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舞台布景</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066D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郭妍、汪玘林、赵玉佳</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A367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二等奖</w:t>
            </w:r>
          </w:p>
        </w:tc>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3380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孙凝晖</w:t>
            </w:r>
          </w:p>
        </w:tc>
      </w:tr>
      <w:tr w14:paraId="65A33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4C29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婴幼儿保育（学生赛）</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775A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靳开萌、代丽茹</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5E1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二等奖</w:t>
            </w:r>
          </w:p>
        </w:tc>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2BDE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张海璐</w:t>
            </w:r>
          </w:p>
        </w:tc>
      </w:tr>
      <w:tr w14:paraId="4235D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BFC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婴幼儿保育（教师赛）</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DD42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张海璐</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CC6B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二等奖</w:t>
            </w:r>
          </w:p>
        </w:tc>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6BA0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胡义超</w:t>
            </w:r>
          </w:p>
        </w:tc>
      </w:tr>
      <w:tr w14:paraId="7AF5C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6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2D7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短视频制作（师生同赛）</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3B9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于文洁</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9C7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二等奖</w:t>
            </w:r>
          </w:p>
        </w:tc>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83F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田细雨</w:t>
            </w:r>
          </w:p>
        </w:tc>
      </w:tr>
      <w:tr w14:paraId="5FB0D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1B3B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酒店服务</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5786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马骜、周慧馨</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5B02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二等奖</w:t>
            </w:r>
          </w:p>
        </w:tc>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C98B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张露</w:t>
            </w:r>
          </w:p>
        </w:tc>
      </w:tr>
      <w:tr w14:paraId="52999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DE7D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工业通信与智能控制系统集成与维护</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A502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张祥、赵德恩、王中康</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EE26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二等奖</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B93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叶远松</w:t>
            </w:r>
          </w:p>
          <w:p w14:paraId="2543A5B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项兴涛</w:t>
            </w:r>
          </w:p>
        </w:tc>
      </w:tr>
      <w:tr w14:paraId="34E06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1D32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戏曲表演（学生赛）</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EBE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韦筱蝶、周翰林</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942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二等奖</w:t>
            </w:r>
          </w:p>
        </w:tc>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E483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黄奕朵</w:t>
            </w:r>
          </w:p>
        </w:tc>
      </w:tr>
      <w:tr w14:paraId="26CF3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5E6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美术造型</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E95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鲍晨冉</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3617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二等奖</w:t>
            </w:r>
          </w:p>
        </w:tc>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6F1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廖凯</w:t>
            </w:r>
          </w:p>
        </w:tc>
      </w:tr>
      <w:tr w14:paraId="132B9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CE59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幼儿创客设计</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5A6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王璨、余清雅</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AFE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二等奖</w:t>
            </w:r>
          </w:p>
        </w:tc>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099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罗雨嘉</w:t>
            </w:r>
          </w:p>
        </w:tc>
      </w:tr>
      <w:tr w14:paraId="1BB9A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AC5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移动应用与开发</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13D6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王悦思婷、尤灵静</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8338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二等奖</w:t>
            </w:r>
          </w:p>
        </w:tc>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3D72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陈冰洁</w:t>
            </w:r>
          </w:p>
        </w:tc>
      </w:tr>
      <w:tr w14:paraId="426E5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69A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数据中心搭建与运维</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924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孙隽逸、缪运祥</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1BEA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二等奖</w:t>
            </w:r>
          </w:p>
        </w:tc>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DC83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许正红</w:t>
            </w:r>
          </w:p>
        </w:tc>
      </w:tr>
      <w:tr w14:paraId="369D4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F4AD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大数据应用与服务（学生赛）</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942F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姜心怡、徐晨、徐静</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22B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二等奖</w:t>
            </w:r>
          </w:p>
        </w:tc>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4CFD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胡宗翔</w:t>
            </w:r>
          </w:p>
        </w:tc>
      </w:tr>
      <w:tr w14:paraId="7DAB9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6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584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幼儿教育技能（教师赛）</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5E7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戴星宇</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38BB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二等奖</w:t>
            </w:r>
          </w:p>
        </w:tc>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8080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胡义超</w:t>
            </w:r>
          </w:p>
        </w:tc>
      </w:tr>
      <w:tr w14:paraId="106BF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AF6B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手工制茶</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823C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周才庆、张嘉诚、童浩、惠梓奥</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6BC2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二等奖</w:t>
            </w:r>
          </w:p>
        </w:tc>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826E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张露</w:t>
            </w:r>
          </w:p>
        </w:tc>
      </w:tr>
      <w:tr w14:paraId="04F50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1033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导游服务（学生赛）</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1406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周诺雅</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FEAF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三等奖</w:t>
            </w:r>
          </w:p>
        </w:tc>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068D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黄奕朵</w:t>
            </w:r>
          </w:p>
        </w:tc>
      </w:tr>
      <w:tr w14:paraId="549AC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6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7142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航空服务</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7ACB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吕胜杰、吕智祥、魏梦如</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78C5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三等奖</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44C6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张露、朱云月</w:t>
            </w:r>
          </w:p>
        </w:tc>
      </w:tr>
      <w:tr w14:paraId="068A6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5E8F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康复技术</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C1CF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陈琦琦、王淑贤、汪文宇</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A66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三等奖</w:t>
            </w:r>
          </w:p>
        </w:tc>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9BEF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沈小青</w:t>
            </w:r>
          </w:p>
        </w:tc>
      </w:tr>
      <w:tr w14:paraId="14387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CCA8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安全保卫</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5200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江岩、张宇、薛子辉</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E990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三等奖</w:t>
            </w:r>
          </w:p>
        </w:tc>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3A0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江顺</w:t>
            </w:r>
          </w:p>
        </w:tc>
      </w:tr>
      <w:tr w14:paraId="60132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6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1ED4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Python程序开发（教师赛）</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8F2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陈冰洁</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BBA0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三等奖</w:t>
            </w:r>
          </w:p>
        </w:tc>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BC6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胡义超</w:t>
            </w:r>
          </w:p>
        </w:tc>
      </w:tr>
      <w:tr w14:paraId="296E4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6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E40C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工业互联网数据采集与应用</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0E2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殷方明、李念、陶顺</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806D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三等奖</w:t>
            </w:r>
          </w:p>
        </w:tc>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9B1D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胡宗翔</w:t>
            </w:r>
          </w:p>
        </w:tc>
      </w:tr>
      <w:tr w14:paraId="099E6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952D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网络建设与运维</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7D72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余祥满、孟强</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7CA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三等奖</w:t>
            </w:r>
          </w:p>
        </w:tc>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34F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代莹莹</w:t>
            </w:r>
          </w:p>
        </w:tc>
      </w:tr>
      <w:tr w14:paraId="1587C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C46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幼儿教育技能（学生赛）</w:t>
            </w:r>
          </w:p>
        </w:tc>
        <w:tc>
          <w:tcPr>
            <w:tcW w:w="18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FF74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魏艾云</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9D67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三等奖</w:t>
            </w:r>
          </w:p>
        </w:tc>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D8D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戴星宇</w:t>
            </w:r>
          </w:p>
        </w:tc>
      </w:tr>
    </w:tbl>
    <w:p w14:paraId="2CD970C0">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方正仿宋_GBK" w:hAnsi="方正仿宋_GBK" w:eastAsia="方正仿宋_GBK" w:cs="方正仿宋_GBK"/>
          <w:b/>
          <w:bCs/>
          <w:sz w:val="28"/>
          <w:szCs w:val="28"/>
        </w:rPr>
      </w:pPr>
    </w:p>
    <w:p w14:paraId="67675BFA">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1"/>
        <w:rPr>
          <w:rFonts w:hint="eastAsia" w:ascii="方正仿宋_GBK" w:hAnsi="方正仿宋_GBK" w:eastAsia="方正仿宋_GBK" w:cs="方正仿宋_GBK"/>
          <w:b/>
          <w:bCs/>
          <w:sz w:val="28"/>
          <w:szCs w:val="28"/>
        </w:rPr>
      </w:pPr>
      <w:bookmarkStart w:id="70" w:name="_Toc32648"/>
      <w:r>
        <w:rPr>
          <w:rFonts w:hint="eastAsia" w:ascii="方正仿宋_GBK" w:hAnsi="方正仿宋_GBK" w:eastAsia="方正仿宋_GBK" w:cs="方正仿宋_GBK"/>
          <w:b/>
          <w:bCs/>
          <w:sz w:val="28"/>
          <w:szCs w:val="28"/>
        </w:rPr>
        <w:t>2025年世界职业学校技能大赛（中职组）获奖名单</w:t>
      </w:r>
      <w:bookmarkEnd w:id="70"/>
    </w:p>
    <w:tbl>
      <w:tblPr>
        <w:tblStyle w:val="12"/>
        <w:tblW w:w="83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740"/>
        <w:gridCol w:w="1500"/>
        <w:gridCol w:w="1827"/>
        <w:gridCol w:w="1213"/>
        <w:gridCol w:w="2032"/>
      </w:tblGrid>
      <w:tr w14:paraId="605F5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rPr>
        <w:tc>
          <w:tcPr>
            <w:tcW w:w="1740" w:type="dxa"/>
            <w:shd w:val="clear" w:color="auto" w:fill="auto"/>
            <w:vAlign w:val="center"/>
          </w:tcPr>
          <w:p w14:paraId="578DA6D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赛道名称</w:t>
            </w:r>
          </w:p>
        </w:tc>
        <w:tc>
          <w:tcPr>
            <w:tcW w:w="1500" w:type="dxa"/>
            <w:shd w:val="clear" w:color="auto" w:fill="auto"/>
            <w:vAlign w:val="center"/>
          </w:tcPr>
          <w:p w14:paraId="02B11FF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赛项组别</w:t>
            </w:r>
          </w:p>
        </w:tc>
        <w:tc>
          <w:tcPr>
            <w:tcW w:w="1827" w:type="dxa"/>
            <w:shd w:val="clear" w:color="auto" w:fill="auto"/>
            <w:vAlign w:val="center"/>
          </w:tcPr>
          <w:p w14:paraId="174A960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选手姓名</w:t>
            </w:r>
          </w:p>
        </w:tc>
        <w:tc>
          <w:tcPr>
            <w:tcW w:w="1213" w:type="dxa"/>
            <w:shd w:val="clear" w:color="auto" w:fill="auto"/>
            <w:vAlign w:val="center"/>
          </w:tcPr>
          <w:p w14:paraId="0F54C1E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奖项</w:t>
            </w:r>
          </w:p>
        </w:tc>
        <w:tc>
          <w:tcPr>
            <w:tcW w:w="2032" w:type="dxa"/>
            <w:shd w:val="clear" w:color="auto" w:fill="auto"/>
            <w:vAlign w:val="center"/>
          </w:tcPr>
          <w:p w14:paraId="041AE2C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指导老师</w:t>
            </w:r>
          </w:p>
        </w:tc>
      </w:tr>
      <w:tr w14:paraId="6B94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740" w:type="dxa"/>
            <w:shd w:val="clear" w:color="auto" w:fill="auto"/>
            <w:vAlign w:val="center"/>
          </w:tcPr>
          <w:p w14:paraId="01B49DB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新一代信息技术</w:t>
            </w:r>
          </w:p>
        </w:tc>
        <w:tc>
          <w:tcPr>
            <w:tcW w:w="1500" w:type="dxa"/>
            <w:shd w:val="clear" w:color="auto" w:fill="auto"/>
            <w:vAlign w:val="center"/>
          </w:tcPr>
          <w:p w14:paraId="2BAD848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学生团体赛</w:t>
            </w:r>
          </w:p>
        </w:tc>
        <w:tc>
          <w:tcPr>
            <w:tcW w:w="1827" w:type="dxa"/>
            <w:shd w:val="clear" w:color="auto" w:fill="auto"/>
            <w:vAlign w:val="center"/>
          </w:tcPr>
          <w:p w14:paraId="6E10907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钱雨彤、徐凌曦、何君鹏</w:t>
            </w:r>
          </w:p>
        </w:tc>
        <w:tc>
          <w:tcPr>
            <w:tcW w:w="1213" w:type="dxa"/>
            <w:shd w:val="clear" w:color="auto" w:fill="auto"/>
            <w:vAlign w:val="center"/>
          </w:tcPr>
          <w:p w14:paraId="7E3FDBC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铜奖</w:t>
            </w:r>
          </w:p>
        </w:tc>
        <w:tc>
          <w:tcPr>
            <w:tcW w:w="2032" w:type="dxa"/>
            <w:shd w:val="clear" w:color="auto" w:fill="auto"/>
            <w:vAlign w:val="center"/>
          </w:tcPr>
          <w:p w14:paraId="62BA75F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刘杨、倪红国</w:t>
            </w:r>
          </w:p>
        </w:tc>
      </w:tr>
      <w:tr w14:paraId="08646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740" w:type="dxa"/>
            <w:shd w:val="clear" w:color="auto" w:fill="auto"/>
            <w:vAlign w:val="center"/>
          </w:tcPr>
          <w:p w14:paraId="0AFEC62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轨道交通运输</w:t>
            </w:r>
          </w:p>
        </w:tc>
        <w:tc>
          <w:tcPr>
            <w:tcW w:w="1500" w:type="dxa"/>
            <w:shd w:val="clear" w:color="auto" w:fill="auto"/>
            <w:vAlign w:val="center"/>
          </w:tcPr>
          <w:p w14:paraId="1EA805A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学生团体赛</w:t>
            </w:r>
          </w:p>
        </w:tc>
        <w:tc>
          <w:tcPr>
            <w:tcW w:w="1827" w:type="dxa"/>
            <w:shd w:val="clear" w:color="auto" w:fill="auto"/>
            <w:vAlign w:val="center"/>
          </w:tcPr>
          <w:p w14:paraId="1C5D5D5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李玲、王斌悦、张振伟、马熙俊</w:t>
            </w:r>
          </w:p>
        </w:tc>
        <w:tc>
          <w:tcPr>
            <w:tcW w:w="1213" w:type="dxa"/>
            <w:shd w:val="clear" w:color="auto" w:fill="auto"/>
            <w:vAlign w:val="center"/>
          </w:tcPr>
          <w:p w14:paraId="720BF97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铜奖</w:t>
            </w:r>
          </w:p>
        </w:tc>
        <w:tc>
          <w:tcPr>
            <w:tcW w:w="2032" w:type="dxa"/>
            <w:shd w:val="clear" w:color="auto" w:fill="auto"/>
            <w:vAlign w:val="center"/>
          </w:tcPr>
          <w:p w14:paraId="5AD6111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金辉、许正红</w:t>
            </w:r>
          </w:p>
        </w:tc>
      </w:tr>
    </w:tbl>
    <w:p w14:paraId="7EA59017">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方正仿宋_GBK" w:hAnsi="方正仿宋_GBK" w:eastAsia="方正仿宋_GBK" w:cs="方正仿宋_GBK"/>
          <w:b/>
          <w:bCs/>
          <w:sz w:val="28"/>
          <w:szCs w:val="28"/>
        </w:rPr>
      </w:pPr>
    </w:p>
    <w:p w14:paraId="69F97DED">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1"/>
        <w:rPr>
          <w:rFonts w:hint="eastAsia" w:ascii="方正仿宋_GBK" w:hAnsi="方正仿宋_GBK" w:eastAsia="方正仿宋_GBK" w:cs="方正仿宋_GBK"/>
          <w:b/>
          <w:bCs/>
          <w:sz w:val="28"/>
          <w:szCs w:val="28"/>
        </w:rPr>
      </w:pPr>
      <w:bookmarkStart w:id="71" w:name="_Toc32756"/>
      <w:r>
        <w:rPr>
          <w:rFonts w:hint="eastAsia" w:ascii="方正仿宋_GBK" w:hAnsi="方正仿宋_GBK" w:eastAsia="方正仿宋_GBK" w:cs="方正仿宋_GBK"/>
          <w:b/>
          <w:bCs/>
          <w:sz w:val="28"/>
          <w:szCs w:val="28"/>
        </w:rPr>
        <w:t>2025年合肥市中等职业学校技能大赛获奖名单</w:t>
      </w:r>
      <w:bookmarkEnd w:id="71"/>
    </w:p>
    <w:tbl>
      <w:tblPr>
        <w:tblStyle w:val="12"/>
        <w:tblW w:w="83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741"/>
        <w:gridCol w:w="1499"/>
        <w:gridCol w:w="1840"/>
        <w:gridCol w:w="1214"/>
        <w:gridCol w:w="2018"/>
      </w:tblGrid>
      <w:tr w14:paraId="72496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rPr>
        <w:tc>
          <w:tcPr>
            <w:tcW w:w="1741" w:type="dxa"/>
            <w:shd w:val="clear" w:color="auto" w:fill="auto"/>
            <w:vAlign w:val="center"/>
          </w:tcPr>
          <w:p w14:paraId="613AF62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赛项名称</w:t>
            </w:r>
          </w:p>
        </w:tc>
        <w:tc>
          <w:tcPr>
            <w:tcW w:w="1499" w:type="dxa"/>
            <w:shd w:val="clear" w:color="auto" w:fill="auto"/>
            <w:vAlign w:val="center"/>
          </w:tcPr>
          <w:p w14:paraId="05FCBC8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赛项组别</w:t>
            </w:r>
          </w:p>
        </w:tc>
        <w:tc>
          <w:tcPr>
            <w:tcW w:w="1840" w:type="dxa"/>
            <w:shd w:val="clear" w:color="auto" w:fill="auto"/>
            <w:vAlign w:val="center"/>
          </w:tcPr>
          <w:p w14:paraId="7404BCD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选手姓名</w:t>
            </w:r>
          </w:p>
        </w:tc>
        <w:tc>
          <w:tcPr>
            <w:tcW w:w="1214" w:type="dxa"/>
            <w:shd w:val="clear" w:color="auto" w:fill="auto"/>
            <w:vAlign w:val="center"/>
          </w:tcPr>
          <w:p w14:paraId="1DB3C9C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奖项</w:t>
            </w:r>
          </w:p>
        </w:tc>
        <w:tc>
          <w:tcPr>
            <w:tcW w:w="2018" w:type="dxa"/>
            <w:shd w:val="clear" w:color="auto" w:fill="auto"/>
            <w:vAlign w:val="center"/>
          </w:tcPr>
          <w:p w14:paraId="683B33C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指导老师</w:t>
            </w:r>
          </w:p>
        </w:tc>
      </w:tr>
      <w:tr w14:paraId="22188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741" w:type="dxa"/>
            <w:shd w:val="clear" w:color="auto" w:fill="auto"/>
            <w:vAlign w:val="center"/>
          </w:tcPr>
          <w:p w14:paraId="32C3368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短视频制作</w:t>
            </w:r>
          </w:p>
        </w:tc>
        <w:tc>
          <w:tcPr>
            <w:tcW w:w="1499" w:type="dxa"/>
            <w:shd w:val="clear" w:color="auto" w:fill="auto"/>
            <w:vAlign w:val="center"/>
          </w:tcPr>
          <w:p w14:paraId="26011B8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学生团体赛</w:t>
            </w:r>
          </w:p>
        </w:tc>
        <w:tc>
          <w:tcPr>
            <w:tcW w:w="1840" w:type="dxa"/>
            <w:shd w:val="clear" w:color="auto" w:fill="auto"/>
            <w:vAlign w:val="center"/>
          </w:tcPr>
          <w:p w14:paraId="0BAA26A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高可欣、马芯蕊</w:t>
            </w:r>
          </w:p>
        </w:tc>
        <w:tc>
          <w:tcPr>
            <w:tcW w:w="1214" w:type="dxa"/>
            <w:shd w:val="clear" w:color="auto" w:fill="auto"/>
            <w:vAlign w:val="center"/>
          </w:tcPr>
          <w:p w14:paraId="68339A6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一等奖</w:t>
            </w:r>
          </w:p>
        </w:tc>
        <w:tc>
          <w:tcPr>
            <w:tcW w:w="2018" w:type="dxa"/>
            <w:shd w:val="clear" w:color="auto" w:fill="auto"/>
            <w:vAlign w:val="center"/>
          </w:tcPr>
          <w:p w14:paraId="70B6726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田细雨、储金淼</w:t>
            </w:r>
          </w:p>
        </w:tc>
      </w:tr>
      <w:tr w14:paraId="1C68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741" w:type="dxa"/>
            <w:shd w:val="clear" w:color="auto" w:fill="auto"/>
            <w:vAlign w:val="center"/>
          </w:tcPr>
          <w:p w14:paraId="421ED3C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短视频制作</w:t>
            </w:r>
          </w:p>
        </w:tc>
        <w:tc>
          <w:tcPr>
            <w:tcW w:w="1499" w:type="dxa"/>
            <w:shd w:val="clear" w:color="auto" w:fill="auto"/>
            <w:vAlign w:val="center"/>
          </w:tcPr>
          <w:p w14:paraId="5D07757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学生团体赛</w:t>
            </w:r>
          </w:p>
        </w:tc>
        <w:tc>
          <w:tcPr>
            <w:tcW w:w="1840" w:type="dxa"/>
            <w:shd w:val="clear" w:color="auto" w:fill="auto"/>
            <w:vAlign w:val="center"/>
          </w:tcPr>
          <w:p w14:paraId="65F7D0E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赵云馨、马芊若</w:t>
            </w:r>
          </w:p>
        </w:tc>
        <w:tc>
          <w:tcPr>
            <w:tcW w:w="1214" w:type="dxa"/>
            <w:shd w:val="clear" w:color="auto" w:fill="auto"/>
            <w:vAlign w:val="center"/>
          </w:tcPr>
          <w:p w14:paraId="31ED6CD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一等奖</w:t>
            </w:r>
          </w:p>
        </w:tc>
        <w:tc>
          <w:tcPr>
            <w:tcW w:w="2018" w:type="dxa"/>
            <w:shd w:val="clear" w:color="auto" w:fill="auto"/>
            <w:vAlign w:val="center"/>
          </w:tcPr>
          <w:p w14:paraId="4FD463F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田细雨、张棒棒</w:t>
            </w:r>
          </w:p>
        </w:tc>
      </w:tr>
      <w:tr w14:paraId="4ACD2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741" w:type="dxa"/>
            <w:shd w:val="clear" w:color="auto" w:fill="auto"/>
            <w:vAlign w:val="center"/>
          </w:tcPr>
          <w:p w14:paraId="6ED735D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安全保卫</w:t>
            </w:r>
          </w:p>
        </w:tc>
        <w:tc>
          <w:tcPr>
            <w:tcW w:w="1499" w:type="dxa"/>
            <w:shd w:val="clear" w:color="auto" w:fill="auto"/>
            <w:vAlign w:val="center"/>
          </w:tcPr>
          <w:p w14:paraId="67A17F1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学生团体赛</w:t>
            </w:r>
          </w:p>
        </w:tc>
        <w:tc>
          <w:tcPr>
            <w:tcW w:w="1840" w:type="dxa"/>
            <w:shd w:val="clear" w:color="auto" w:fill="auto"/>
            <w:vAlign w:val="center"/>
          </w:tcPr>
          <w:p w14:paraId="2E3F4E6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方成伟、李伟晨、尹来福</w:t>
            </w:r>
          </w:p>
        </w:tc>
        <w:tc>
          <w:tcPr>
            <w:tcW w:w="1214" w:type="dxa"/>
            <w:shd w:val="clear" w:color="auto" w:fill="auto"/>
            <w:vAlign w:val="center"/>
          </w:tcPr>
          <w:p w14:paraId="2973838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一等奖</w:t>
            </w:r>
          </w:p>
        </w:tc>
        <w:tc>
          <w:tcPr>
            <w:tcW w:w="2018" w:type="dxa"/>
            <w:shd w:val="clear" w:color="auto" w:fill="auto"/>
            <w:vAlign w:val="center"/>
          </w:tcPr>
          <w:p w14:paraId="6E8E370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江顺、张帅</w:t>
            </w:r>
          </w:p>
        </w:tc>
      </w:tr>
      <w:tr w14:paraId="282B7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741" w:type="dxa"/>
            <w:shd w:val="clear" w:color="auto" w:fill="auto"/>
            <w:vAlign w:val="center"/>
          </w:tcPr>
          <w:p w14:paraId="6BE9099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工业通信与智能控制系统集成与维护</w:t>
            </w:r>
          </w:p>
        </w:tc>
        <w:tc>
          <w:tcPr>
            <w:tcW w:w="1499" w:type="dxa"/>
            <w:shd w:val="clear" w:color="auto" w:fill="auto"/>
            <w:vAlign w:val="center"/>
          </w:tcPr>
          <w:p w14:paraId="209AEB3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学生团体赛</w:t>
            </w:r>
          </w:p>
        </w:tc>
        <w:tc>
          <w:tcPr>
            <w:tcW w:w="1840" w:type="dxa"/>
            <w:shd w:val="clear" w:color="auto" w:fill="auto"/>
            <w:vAlign w:val="center"/>
          </w:tcPr>
          <w:p w14:paraId="10E5B04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丁子良、陈韩冬、孙锦程</w:t>
            </w:r>
          </w:p>
        </w:tc>
        <w:tc>
          <w:tcPr>
            <w:tcW w:w="1214" w:type="dxa"/>
            <w:shd w:val="clear" w:color="auto" w:fill="auto"/>
            <w:vAlign w:val="center"/>
          </w:tcPr>
          <w:p w14:paraId="7565F0B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一等奖</w:t>
            </w:r>
          </w:p>
        </w:tc>
        <w:tc>
          <w:tcPr>
            <w:tcW w:w="2018" w:type="dxa"/>
            <w:shd w:val="clear" w:color="auto" w:fill="auto"/>
            <w:vAlign w:val="center"/>
          </w:tcPr>
          <w:p w14:paraId="696F422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叶远松、黄奕朵</w:t>
            </w:r>
          </w:p>
        </w:tc>
      </w:tr>
      <w:tr w14:paraId="296B3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741" w:type="dxa"/>
            <w:shd w:val="clear" w:color="auto" w:fill="auto"/>
            <w:vAlign w:val="center"/>
          </w:tcPr>
          <w:p w14:paraId="17750D1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工业互联网数据采集与应用</w:t>
            </w:r>
          </w:p>
        </w:tc>
        <w:tc>
          <w:tcPr>
            <w:tcW w:w="1499" w:type="dxa"/>
            <w:shd w:val="clear" w:color="auto" w:fill="auto"/>
            <w:vAlign w:val="center"/>
          </w:tcPr>
          <w:p w14:paraId="3411847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学生团体赛</w:t>
            </w:r>
          </w:p>
        </w:tc>
        <w:tc>
          <w:tcPr>
            <w:tcW w:w="1840" w:type="dxa"/>
            <w:shd w:val="clear" w:color="auto" w:fill="auto"/>
            <w:vAlign w:val="center"/>
          </w:tcPr>
          <w:p w14:paraId="7ECE858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汪泽睿、陈彭、魏明康</w:t>
            </w:r>
          </w:p>
        </w:tc>
        <w:tc>
          <w:tcPr>
            <w:tcW w:w="1214" w:type="dxa"/>
            <w:shd w:val="clear" w:color="auto" w:fill="auto"/>
            <w:vAlign w:val="center"/>
          </w:tcPr>
          <w:p w14:paraId="7520B9E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一等奖</w:t>
            </w:r>
          </w:p>
        </w:tc>
        <w:tc>
          <w:tcPr>
            <w:tcW w:w="2018" w:type="dxa"/>
            <w:shd w:val="clear" w:color="auto" w:fill="auto"/>
            <w:vAlign w:val="center"/>
          </w:tcPr>
          <w:p w14:paraId="03F53F9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胡宗翔、代莹莹</w:t>
            </w:r>
          </w:p>
        </w:tc>
      </w:tr>
      <w:tr w14:paraId="74F8C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741" w:type="dxa"/>
            <w:shd w:val="clear" w:color="auto" w:fill="auto"/>
            <w:vAlign w:val="center"/>
          </w:tcPr>
          <w:p w14:paraId="0248EFC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幼儿创客设计</w:t>
            </w:r>
          </w:p>
        </w:tc>
        <w:tc>
          <w:tcPr>
            <w:tcW w:w="1499" w:type="dxa"/>
            <w:shd w:val="clear" w:color="auto" w:fill="auto"/>
            <w:vAlign w:val="center"/>
          </w:tcPr>
          <w:p w14:paraId="512D7CD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学生团体赛</w:t>
            </w:r>
          </w:p>
        </w:tc>
        <w:tc>
          <w:tcPr>
            <w:tcW w:w="1840" w:type="dxa"/>
            <w:shd w:val="clear" w:color="auto" w:fill="auto"/>
            <w:vAlign w:val="center"/>
          </w:tcPr>
          <w:p w14:paraId="40DF38F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刘艾洁、肖华锐</w:t>
            </w:r>
          </w:p>
        </w:tc>
        <w:tc>
          <w:tcPr>
            <w:tcW w:w="1214" w:type="dxa"/>
            <w:shd w:val="clear" w:color="auto" w:fill="auto"/>
            <w:vAlign w:val="center"/>
          </w:tcPr>
          <w:p w14:paraId="020CF32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一等奖</w:t>
            </w:r>
          </w:p>
        </w:tc>
        <w:tc>
          <w:tcPr>
            <w:tcW w:w="2018" w:type="dxa"/>
            <w:shd w:val="clear" w:color="auto" w:fill="auto"/>
            <w:vAlign w:val="center"/>
          </w:tcPr>
          <w:p w14:paraId="65F99C0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张海璐、刘全伟</w:t>
            </w:r>
          </w:p>
        </w:tc>
      </w:tr>
      <w:tr w14:paraId="0395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741" w:type="dxa"/>
            <w:shd w:val="clear" w:color="auto" w:fill="auto"/>
            <w:vAlign w:val="center"/>
          </w:tcPr>
          <w:p w14:paraId="72D6CA3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数据中心搭建与运维</w:t>
            </w:r>
          </w:p>
        </w:tc>
        <w:tc>
          <w:tcPr>
            <w:tcW w:w="1499" w:type="dxa"/>
            <w:shd w:val="clear" w:color="auto" w:fill="auto"/>
            <w:vAlign w:val="center"/>
          </w:tcPr>
          <w:p w14:paraId="24FC934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学生团体赛</w:t>
            </w:r>
          </w:p>
        </w:tc>
        <w:tc>
          <w:tcPr>
            <w:tcW w:w="1840" w:type="dxa"/>
            <w:shd w:val="clear" w:color="auto" w:fill="auto"/>
            <w:vAlign w:val="center"/>
          </w:tcPr>
          <w:p w14:paraId="1F50E90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汤旭、姜博宇</w:t>
            </w:r>
          </w:p>
        </w:tc>
        <w:tc>
          <w:tcPr>
            <w:tcW w:w="1214" w:type="dxa"/>
            <w:shd w:val="clear" w:color="auto" w:fill="auto"/>
            <w:vAlign w:val="center"/>
          </w:tcPr>
          <w:p w14:paraId="6026BCA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一等奖</w:t>
            </w:r>
          </w:p>
        </w:tc>
        <w:tc>
          <w:tcPr>
            <w:tcW w:w="2018" w:type="dxa"/>
            <w:shd w:val="clear" w:color="auto" w:fill="auto"/>
            <w:vAlign w:val="center"/>
          </w:tcPr>
          <w:p w14:paraId="2307CD2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金辉、许正红</w:t>
            </w:r>
          </w:p>
        </w:tc>
      </w:tr>
      <w:tr w14:paraId="49B65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1741" w:type="dxa"/>
            <w:shd w:val="clear" w:color="auto" w:fill="auto"/>
            <w:vAlign w:val="center"/>
          </w:tcPr>
          <w:p w14:paraId="44DCE57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Python程序开发</w:t>
            </w:r>
          </w:p>
        </w:tc>
        <w:tc>
          <w:tcPr>
            <w:tcW w:w="1499" w:type="dxa"/>
            <w:shd w:val="clear" w:color="auto" w:fill="auto"/>
            <w:vAlign w:val="center"/>
          </w:tcPr>
          <w:p w14:paraId="034D472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学生个人赛</w:t>
            </w:r>
          </w:p>
        </w:tc>
        <w:tc>
          <w:tcPr>
            <w:tcW w:w="1840" w:type="dxa"/>
            <w:shd w:val="clear" w:color="auto" w:fill="auto"/>
            <w:vAlign w:val="center"/>
          </w:tcPr>
          <w:p w14:paraId="7FD3C16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徐凌曦</w:t>
            </w:r>
          </w:p>
        </w:tc>
        <w:tc>
          <w:tcPr>
            <w:tcW w:w="1214" w:type="dxa"/>
            <w:shd w:val="clear" w:color="auto" w:fill="auto"/>
            <w:vAlign w:val="center"/>
          </w:tcPr>
          <w:p w14:paraId="48F7F1B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一等奖</w:t>
            </w:r>
          </w:p>
        </w:tc>
        <w:tc>
          <w:tcPr>
            <w:tcW w:w="2018" w:type="dxa"/>
            <w:shd w:val="clear" w:color="auto" w:fill="auto"/>
            <w:vAlign w:val="center"/>
          </w:tcPr>
          <w:p w14:paraId="41EE17F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胡宗翔</w:t>
            </w:r>
          </w:p>
        </w:tc>
      </w:tr>
      <w:tr w14:paraId="00AF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1741" w:type="dxa"/>
            <w:shd w:val="clear" w:color="auto" w:fill="auto"/>
            <w:vAlign w:val="center"/>
          </w:tcPr>
          <w:p w14:paraId="686DDEC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城市轨道交通运营与维护</w:t>
            </w:r>
          </w:p>
        </w:tc>
        <w:tc>
          <w:tcPr>
            <w:tcW w:w="1499" w:type="dxa"/>
            <w:shd w:val="clear" w:color="auto" w:fill="auto"/>
            <w:vAlign w:val="center"/>
          </w:tcPr>
          <w:p w14:paraId="05BAAAF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学生团体赛</w:t>
            </w:r>
          </w:p>
        </w:tc>
        <w:tc>
          <w:tcPr>
            <w:tcW w:w="1840" w:type="dxa"/>
            <w:shd w:val="clear" w:color="auto" w:fill="auto"/>
            <w:vAlign w:val="center"/>
          </w:tcPr>
          <w:p w14:paraId="1825EDD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王斌悦、张振伟</w:t>
            </w:r>
          </w:p>
        </w:tc>
        <w:tc>
          <w:tcPr>
            <w:tcW w:w="1214" w:type="dxa"/>
            <w:shd w:val="clear" w:color="auto" w:fill="auto"/>
            <w:vAlign w:val="center"/>
          </w:tcPr>
          <w:p w14:paraId="50ACC3B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二等奖</w:t>
            </w:r>
          </w:p>
        </w:tc>
        <w:tc>
          <w:tcPr>
            <w:tcW w:w="2018" w:type="dxa"/>
            <w:shd w:val="clear" w:color="auto" w:fill="auto"/>
            <w:vAlign w:val="center"/>
          </w:tcPr>
          <w:p w14:paraId="67953CE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金辉、许正红</w:t>
            </w:r>
          </w:p>
        </w:tc>
      </w:tr>
      <w:tr w14:paraId="09CE1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741" w:type="dxa"/>
            <w:shd w:val="clear" w:color="auto" w:fill="auto"/>
            <w:vAlign w:val="center"/>
          </w:tcPr>
          <w:p w14:paraId="5A058D7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城市轨道交通运营与维护</w:t>
            </w:r>
          </w:p>
        </w:tc>
        <w:tc>
          <w:tcPr>
            <w:tcW w:w="1499" w:type="dxa"/>
            <w:shd w:val="clear" w:color="auto" w:fill="auto"/>
            <w:vAlign w:val="center"/>
          </w:tcPr>
          <w:p w14:paraId="130427F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学生团体赛</w:t>
            </w:r>
          </w:p>
        </w:tc>
        <w:tc>
          <w:tcPr>
            <w:tcW w:w="1840" w:type="dxa"/>
            <w:shd w:val="clear" w:color="auto" w:fill="auto"/>
            <w:vAlign w:val="center"/>
          </w:tcPr>
          <w:p w14:paraId="2DCE847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马熙俊、邓远鹏</w:t>
            </w:r>
          </w:p>
        </w:tc>
        <w:tc>
          <w:tcPr>
            <w:tcW w:w="1214" w:type="dxa"/>
            <w:shd w:val="clear" w:color="auto" w:fill="auto"/>
            <w:vAlign w:val="center"/>
          </w:tcPr>
          <w:p w14:paraId="59A17CD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二等奖</w:t>
            </w:r>
          </w:p>
        </w:tc>
        <w:tc>
          <w:tcPr>
            <w:tcW w:w="2018" w:type="dxa"/>
            <w:shd w:val="clear" w:color="auto" w:fill="auto"/>
            <w:vAlign w:val="center"/>
          </w:tcPr>
          <w:p w14:paraId="53D5D10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金辉、许正红</w:t>
            </w:r>
          </w:p>
        </w:tc>
      </w:tr>
      <w:tr w14:paraId="19A28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1741" w:type="dxa"/>
            <w:shd w:val="clear" w:color="auto" w:fill="auto"/>
            <w:vAlign w:val="center"/>
          </w:tcPr>
          <w:p w14:paraId="76EE600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美术造型</w:t>
            </w:r>
          </w:p>
        </w:tc>
        <w:tc>
          <w:tcPr>
            <w:tcW w:w="1499" w:type="dxa"/>
            <w:shd w:val="clear" w:color="auto" w:fill="auto"/>
            <w:vAlign w:val="center"/>
          </w:tcPr>
          <w:p w14:paraId="67B1990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学生个人赛</w:t>
            </w:r>
          </w:p>
        </w:tc>
        <w:tc>
          <w:tcPr>
            <w:tcW w:w="1840" w:type="dxa"/>
            <w:shd w:val="clear" w:color="auto" w:fill="auto"/>
            <w:vAlign w:val="center"/>
          </w:tcPr>
          <w:p w14:paraId="53A9E20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吴欣芸</w:t>
            </w:r>
          </w:p>
        </w:tc>
        <w:tc>
          <w:tcPr>
            <w:tcW w:w="1214" w:type="dxa"/>
            <w:shd w:val="clear" w:color="auto" w:fill="auto"/>
            <w:vAlign w:val="center"/>
          </w:tcPr>
          <w:p w14:paraId="555FEB8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二等奖</w:t>
            </w:r>
          </w:p>
        </w:tc>
        <w:tc>
          <w:tcPr>
            <w:tcW w:w="2018" w:type="dxa"/>
            <w:shd w:val="clear" w:color="auto" w:fill="auto"/>
            <w:vAlign w:val="center"/>
          </w:tcPr>
          <w:p w14:paraId="31051CA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廖凯</w:t>
            </w:r>
          </w:p>
        </w:tc>
      </w:tr>
      <w:tr w14:paraId="21B20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741" w:type="dxa"/>
            <w:shd w:val="clear" w:color="auto" w:fill="auto"/>
            <w:vAlign w:val="center"/>
          </w:tcPr>
          <w:p w14:paraId="1838976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网络安全</w:t>
            </w:r>
          </w:p>
        </w:tc>
        <w:tc>
          <w:tcPr>
            <w:tcW w:w="1499" w:type="dxa"/>
            <w:shd w:val="clear" w:color="auto" w:fill="auto"/>
            <w:vAlign w:val="center"/>
          </w:tcPr>
          <w:p w14:paraId="0042ABB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学生团体赛</w:t>
            </w:r>
          </w:p>
        </w:tc>
        <w:tc>
          <w:tcPr>
            <w:tcW w:w="1840" w:type="dxa"/>
            <w:shd w:val="clear" w:color="auto" w:fill="auto"/>
            <w:vAlign w:val="center"/>
          </w:tcPr>
          <w:p w14:paraId="4F1BF6A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钱雨彤、童一凡</w:t>
            </w:r>
          </w:p>
        </w:tc>
        <w:tc>
          <w:tcPr>
            <w:tcW w:w="1214" w:type="dxa"/>
            <w:shd w:val="clear" w:color="auto" w:fill="auto"/>
            <w:vAlign w:val="center"/>
          </w:tcPr>
          <w:p w14:paraId="58ED394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二等奖</w:t>
            </w:r>
          </w:p>
        </w:tc>
        <w:tc>
          <w:tcPr>
            <w:tcW w:w="2018" w:type="dxa"/>
            <w:shd w:val="clear" w:color="auto" w:fill="auto"/>
            <w:vAlign w:val="center"/>
          </w:tcPr>
          <w:p w14:paraId="33CD5DE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代莹莹、胡宗翔</w:t>
            </w:r>
          </w:p>
        </w:tc>
      </w:tr>
      <w:tr w14:paraId="6BF3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741" w:type="dxa"/>
            <w:shd w:val="clear" w:color="auto" w:fill="auto"/>
            <w:vAlign w:val="center"/>
          </w:tcPr>
          <w:p w14:paraId="7DB9179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工业通信与智能控制系统集成与维护</w:t>
            </w:r>
          </w:p>
        </w:tc>
        <w:tc>
          <w:tcPr>
            <w:tcW w:w="1499" w:type="dxa"/>
            <w:shd w:val="clear" w:color="auto" w:fill="auto"/>
            <w:vAlign w:val="center"/>
          </w:tcPr>
          <w:p w14:paraId="40005D4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学生团体赛</w:t>
            </w:r>
          </w:p>
        </w:tc>
        <w:tc>
          <w:tcPr>
            <w:tcW w:w="1840" w:type="dxa"/>
            <w:shd w:val="clear" w:color="auto" w:fill="auto"/>
            <w:vAlign w:val="center"/>
          </w:tcPr>
          <w:p w14:paraId="6D129BC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张瑞泽、金元浩、江宇涵</w:t>
            </w:r>
          </w:p>
        </w:tc>
        <w:tc>
          <w:tcPr>
            <w:tcW w:w="1214" w:type="dxa"/>
            <w:shd w:val="clear" w:color="auto" w:fill="auto"/>
            <w:vAlign w:val="center"/>
          </w:tcPr>
          <w:p w14:paraId="157432C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二等奖</w:t>
            </w:r>
          </w:p>
        </w:tc>
        <w:tc>
          <w:tcPr>
            <w:tcW w:w="2018" w:type="dxa"/>
            <w:shd w:val="clear" w:color="auto" w:fill="auto"/>
            <w:vAlign w:val="center"/>
          </w:tcPr>
          <w:p w14:paraId="7226076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叶远松、戴星宇</w:t>
            </w:r>
          </w:p>
        </w:tc>
      </w:tr>
      <w:tr w14:paraId="556DF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1741" w:type="dxa"/>
            <w:shd w:val="clear" w:color="auto" w:fill="auto"/>
            <w:vAlign w:val="center"/>
          </w:tcPr>
          <w:p w14:paraId="67E3230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Python程序开发</w:t>
            </w:r>
          </w:p>
        </w:tc>
        <w:tc>
          <w:tcPr>
            <w:tcW w:w="1499" w:type="dxa"/>
            <w:shd w:val="clear" w:color="auto" w:fill="auto"/>
            <w:vAlign w:val="center"/>
          </w:tcPr>
          <w:p w14:paraId="1CFE945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学生个人赛</w:t>
            </w:r>
          </w:p>
        </w:tc>
        <w:tc>
          <w:tcPr>
            <w:tcW w:w="1840" w:type="dxa"/>
            <w:shd w:val="clear" w:color="auto" w:fill="auto"/>
            <w:vAlign w:val="center"/>
          </w:tcPr>
          <w:p w14:paraId="17F803B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陈玲</w:t>
            </w:r>
          </w:p>
        </w:tc>
        <w:tc>
          <w:tcPr>
            <w:tcW w:w="1214" w:type="dxa"/>
            <w:shd w:val="clear" w:color="auto" w:fill="auto"/>
            <w:vAlign w:val="center"/>
          </w:tcPr>
          <w:p w14:paraId="7644DBA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二等奖</w:t>
            </w:r>
          </w:p>
        </w:tc>
        <w:tc>
          <w:tcPr>
            <w:tcW w:w="2018" w:type="dxa"/>
            <w:shd w:val="clear" w:color="auto" w:fill="auto"/>
            <w:vAlign w:val="center"/>
          </w:tcPr>
          <w:p w14:paraId="14E364E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胡宗翔</w:t>
            </w:r>
          </w:p>
        </w:tc>
      </w:tr>
      <w:tr w14:paraId="2236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741" w:type="dxa"/>
            <w:shd w:val="clear" w:color="auto" w:fill="auto"/>
            <w:vAlign w:val="center"/>
          </w:tcPr>
          <w:p w14:paraId="3FEB8F4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电子商务运营</w:t>
            </w:r>
          </w:p>
        </w:tc>
        <w:tc>
          <w:tcPr>
            <w:tcW w:w="1499" w:type="dxa"/>
            <w:shd w:val="clear" w:color="auto" w:fill="auto"/>
            <w:vAlign w:val="center"/>
          </w:tcPr>
          <w:p w14:paraId="4274FD6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学生团体赛</w:t>
            </w:r>
          </w:p>
        </w:tc>
        <w:tc>
          <w:tcPr>
            <w:tcW w:w="1840" w:type="dxa"/>
            <w:shd w:val="clear" w:color="auto" w:fill="auto"/>
            <w:vAlign w:val="center"/>
          </w:tcPr>
          <w:p w14:paraId="36D3931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章子菡、钱有为、梁靖雅、付欣颜</w:t>
            </w:r>
          </w:p>
        </w:tc>
        <w:tc>
          <w:tcPr>
            <w:tcW w:w="1214" w:type="dxa"/>
            <w:shd w:val="clear" w:color="auto" w:fill="auto"/>
            <w:vAlign w:val="center"/>
          </w:tcPr>
          <w:p w14:paraId="5D9E7DE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三等奖</w:t>
            </w:r>
          </w:p>
        </w:tc>
        <w:tc>
          <w:tcPr>
            <w:tcW w:w="2018" w:type="dxa"/>
            <w:shd w:val="clear" w:color="auto" w:fill="auto"/>
            <w:vAlign w:val="center"/>
          </w:tcPr>
          <w:p w14:paraId="79FCF5E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吴宇</w:t>
            </w:r>
          </w:p>
        </w:tc>
      </w:tr>
      <w:tr w14:paraId="7EAD5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741" w:type="dxa"/>
            <w:shd w:val="clear" w:color="auto" w:fill="auto"/>
            <w:vAlign w:val="center"/>
          </w:tcPr>
          <w:p w14:paraId="37FF0EF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美术造型</w:t>
            </w:r>
          </w:p>
        </w:tc>
        <w:tc>
          <w:tcPr>
            <w:tcW w:w="1499" w:type="dxa"/>
            <w:shd w:val="clear" w:color="auto" w:fill="auto"/>
            <w:vAlign w:val="center"/>
          </w:tcPr>
          <w:p w14:paraId="31E1B1D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学生个人赛</w:t>
            </w:r>
          </w:p>
        </w:tc>
        <w:tc>
          <w:tcPr>
            <w:tcW w:w="1840" w:type="dxa"/>
            <w:shd w:val="clear" w:color="auto" w:fill="auto"/>
            <w:vAlign w:val="center"/>
          </w:tcPr>
          <w:p w14:paraId="7079438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沈思琦</w:t>
            </w:r>
          </w:p>
        </w:tc>
        <w:tc>
          <w:tcPr>
            <w:tcW w:w="1214" w:type="dxa"/>
            <w:shd w:val="clear" w:color="auto" w:fill="auto"/>
            <w:vAlign w:val="center"/>
          </w:tcPr>
          <w:p w14:paraId="3CC44F4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三等奖</w:t>
            </w:r>
          </w:p>
        </w:tc>
        <w:tc>
          <w:tcPr>
            <w:tcW w:w="2018" w:type="dxa"/>
            <w:shd w:val="clear" w:color="auto" w:fill="auto"/>
            <w:vAlign w:val="center"/>
          </w:tcPr>
          <w:p w14:paraId="1FAA146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廖凯</w:t>
            </w:r>
          </w:p>
        </w:tc>
      </w:tr>
      <w:tr w14:paraId="70335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741" w:type="dxa"/>
            <w:shd w:val="clear" w:color="auto" w:fill="auto"/>
            <w:vAlign w:val="center"/>
          </w:tcPr>
          <w:p w14:paraId="0D03286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婴幼儿保育</w:t>
            </w:r>
          </w:p>
        </w:tc>
        <w:tc>
          <w:tcPr>
            <w:tcW w:w="1499" w:type="dxa"/>
            <w:shd w:val="clear" w:color="auto" w:fill="auto"/>
            <w:vAlign w:val="center"/>
          </w:tcPr>
          <w:p w14:paraId="6BC93DD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学生团体赛</w:t>
            </w:r>
          </w:p>
        </w:tc>
        <w:tc>
          <w:tcPr>
            <w:tcW w:w="1840" w:type="dxa"/>
            <w:shd w:val="clear" w:color="auto" w:fill="auto"/>
            <w:vAlign w:val="center"/>
          </w:tcPr>
          <w:p w14:paraId="450C48D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楚佳丽、薛靖语</w:t>
            </w:r>
          </w:p>
        </w:tc>
        <w:tc>
          <w:tcPr>
            <w:tcW w:w="1214" w:type="dxa"/>
            <w:shd w:val="clear" w:color="auto" w:fill="auto"/>
            <w:vAlign w:val="center"/>
          </w:tcPr>
          <w:p w14:paraId="10EE9DF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三等奖</w:t>
            </w:r>
          </w:p>
        </w:tc>
        <w:tc>
          <w:tcPr>
            <w:tcW w:w="2018" w:type="dxa"/>
            <w:shd w:val="clear" w:color="auto" w:fill="auto"/>
            <w:vAlign w:val="center"/>
          </w:tcPr>
          <w:p w14:paraId="7B99AA1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张海璐、刘全伟</w:t>
            </w:r>
          </w:p>
        </w:tc>
      </w:tr>
      <w:tr w14:paraId="01F92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741" w:type="dxa"/>
            <w:shd w:val="clear" w:color="auto" w:fill="auto"/>
            <w:vAlign w:val="center"/>
          </w:tcPr>
          <w:p w14:paraId="6AF9863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企业经营沙盘模拟</w:t>
            </w:r>
          </w:p>
        </w:tc>
        <w:tc>
          <w:tcPr>
            <w:tcW w:w="1499" w:type="dxa"/>
            <w:shd w:val="clear" w:color="auto" w:fill="auto"/>
            <w:vAlign w:val="center"/>
          </w:tcPr>
          <w:p w14:paraId="0AC4662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学生团体赛</w:t>
            </w:r>
          </w:p>
        </w:tc>
        <w:tc>
          <w:tcPr>
            <w:tcW w:w="1840" w:type="dxa"/>
            <w:shd w:val="clear" w:color="auto" w:fill="auto"/>
            <w:vAlign w:val="center"/>
          </w:tcPr>
          <w:p w14:paraId="1844333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王博文、周传鹏、张天宇、刘浩冉</w:t>
            </w:r>
          </w:p>
        </w:tc>
        <w:tc>
          <w:tcPr>
            <w:tcW w:w="1214" w:type="dxa"/>
            <w:shd w:val="clear" w:color="auto" w:fill="auto"/>
            <w:vAlign w:val="center"/>
          </w:tcPr>
          <w:p w14:paraId="04831A6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三等奖</w:t>
            </w:r>
          </w:p>
        </w:tc>
        <w:tc>
          <w:tcPr>
            <w:tcW w:w="2018" w:type="dxa"/>
            <w:shd w:val="clear" w:color="auto" w:fill="auto"/>
            <w:vAlign w:val="center"/>
          </w:tcPr>
          <w:p w14:paraId="5A36A78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姜菁绮、项兴涛</w:t>
            </w:r>
          </w:p>
        </w:tc>
      </w:tr>
      <w:tr w14:paraId="23316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741" w:type="dxa"/>
            <w:shd w:val="clear" w:color="auto" w:fill="auto"/>
            <w:vAlign w:val="center"/>
          </w:tcPr>
          <w:p w14:paraId="4B06ABA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声乐、器乐表演</w:t>
            </w:r>
          </w:p>
        </w:tc>
        <w:tc>
          <w:tcPr>
            <w:tcW w:w="1499" w:type="dxa"/>
            <w:shd w:val="clear" w:color="auto" w:fill="auto"/>
            <w:vAlign w:val="center"/>
          </w:tcPr>
          <w:p w14:paraId="45B4F74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学生团体赛</w:t>
            </w:r>
          </w:p>
        </w:tc>
        <w:tc>
          <w:tcPr>
            <w:tcW w:w="1840" w:type="dxa"/>
            <w:shd w:val="clear" w:color="auto" w:fill="auto"/>
            <w:vAlign w:val="center"/>
          </w:tcPr>
          <w:p w14:paraId="6FBA9F9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汪光宇、万钰锟、杨子贤</w:t>
            </w:r>
          </w:p>
        </w:tc>
        <w:tc>
          <w:tcPr>
            <w:tcW w:w="1214" w:type="dxa"/>
            <w:shd w:val="clear" w:color="auto" w:fill="auto"/>
            <w:vAlign w:val="center"/>
          </w:tcPr>
          <w:p w14:paraId="1DE6BF0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三等奖</w:t>
            </w:r>
          </w:p>
        </w:tc>
        <w:tc>
          <w:tcPr>
            <w:tcW w:w="2018" w:type="dxa"/>
            <w:shd w:val="clear" w:color="auto" w:fill="auto"/>
            <w:vAlign w:val="center"/>
          </w:tcPr>
          <w:p w14:paraId="7276942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何家贝、汤驰</w:t>
            </w:r>
          </w:p>
        </w:tc>
      </w:tr>
      <w:tr w14:paraId="71953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741" w:type="dxa"/>
            <w:shd w:val="clear" w:color="auto" w:fill="auto"/>
            <w:vAlign w:val="center"/>
          </w:tcPr>
          <w:p w14:paraId="53340CA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舞蹈表演</w:t>
            </w:r>
          </w:p>
        </w:tc>
        <w:tc>
          <w:tcPr>
            <w:tcW w:w="1499" w:type="dxa"/>
            <w:shd w:val="clear" w:color="auto" w:fill="auto"/>
            <w:vAlign w:val="center"/>
          </w:tcPr>
          <w:p w14:paraId="092C220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学生个人赛</w:t>
            </w:r>
          </w:p>
        </w:tc>
        <w:tc>
          <w:tcPr>
            <w:tcW w:w="1840" w:type="dxa"/>
            <w:shd w:val="clear" w:color="auto" w:fill="auto"/>
            <w:vAlign w:val="center"/>
          </w:tcPr>
          <w:p w14:paraId="1D4BAEE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柳姝涵</w:t>
            </w:r>
          </w:p>
        </w:tc>
        <w:tc>
          <w:tcPr>
            <w:tcW w:w="1214" w:type="dxa"/>
            <w:shd w:val="clear" w:color="auto" w:fill="auto"/>
            <w:vAlign w:val="center"/>
          </w:tcPr>
          <w:p w14:paraId="1063FD4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三等奖</w:t>
            </w:r>
          </w:p>
        </w:tc>
        <w:tc>
          <w:tcPr>
            <w:tcW w:w="2018" w:type="dxa"/>
            <w:shd w:val="clear" w:color="auto" w:fill="auto"/>
            <w:vAlign w:val="center"/>
          </w:tcPr>
          <w:p w14:paraId="09D73CA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华秀</w:t>
            </w:r>
          </w:p>
        </w:tc>
      </w:tr>
      <w:tr w14:paraId="0032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741" w:type="dxa"/>
            <w:shd w:val="clear" w:color="auto" w:fill="auto"/>
            <w:vAlign w:val="center"/>
          </w:tcPr>
          <w:p w14:paraId="48C3395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安全保卫</w:t>
            </w:r>
          </w:p>
        </w:tc>
        <w:tc>
          <w:tcPr>
            <w:tcW w:w="1499" w:type="dxa"/>
            <w:shd w:val="clear" w:color="auto" w:fill="auto"/>
            <w:vAlign w:val="center"/>
          </w:tcPr>
          <w:p w14:paraId="06FEEA3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学生团体赛</w:t>
            </w:r>
          </w:p>
        </w:tc>
        <w:tc>
          <w:tcPr>
            <w:tcW w:w="1840" w:type="dxa"/>
            <w:shd w:val="clear" w:color="auto" w:fill="auto"/>
            <w:vAlign w:val="center"/>
          </w:tcPr>
          <w:p w14:paraId="7CBDCBF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刘世博、许锐、梁子唯</w:t>
            </w:r>
          </w:p>
        </w:tc>
        <w:tc>
          <w:tcPr>
            <w:tcW w:w="1214" w:type="dxa"/>
            <w:shd w:val="clear" w:color="auto" w:fill="auto"/>
            <w:vAlign w:val="center"/>
          </w:tcPr>
          <w:p w14:paraId="2A0CF31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三等奖</w:t>
            </w:r>
          </w:p>
        </w:tc>
        <w:tc>
          <w:tcPr>
            <w:tcW w:w="2018" w:type="dxa"/>
            <w:shd w:val="clear" w:color="auto" w:fill="auto"/>
            <w:vAlign w:val="center"/>
          </w:tcPr>
          <w:p w14:paraId="64FDCDA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江顺、张帅</w:t>
            </w:r>
          </w:p>
        </w:tc>
      </w:tr>
      <w:tr w14:paraId="1DE4D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1741" w:type="dxa"/>
            <w:shd w:val="clear" w:color="auto" w:fill="auto"/>
            <w:vAlign w:val="center"/>
          </w:tcPr>
          <w:p w14:paraId="61524CB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网络安全</w:t>
            </w:r>
          </w:p>
        </w:tc>
        <w:tc>
          <w:tcPr>
            <w:tcW w:w="1499" w:type="dxa"/>
            <w:shd w:val="clear" w:color="auto" w:fill="auto"/>
            <w:vAlign w:val="center"/>
          </w:tcPr>
          <w:p w14:paraId="4EB18D5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学生团体赛</w:t>
            </w:r>
          </w:p>
        </w:tc>
        <w:tc>
          <w:tcPr>
            <w:tcW w:w="1840" w:type="dxa"/>
            <w:shd w:val="clear" w:color="auto" w:fill="auto"/>
            <w:vAlign w:val="center"/>
          </w:tcPr>
          <w:p w14:paraId="15C2CAA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姜硕硕、李瑞琪</w:t>
            </w:r>
          </w:p>
        </w:tc>
        <w:tc>
          <w:tcPr>
            <w:tcW w:w="1214" w:type="dxa"/>
            <w:shd w:val="clear" w:color="auto" w:fill="auto"/>
            <w:vAlign w:val="center"/>
          </w:tcPr>
          <w:p w14:paraId="2D6066A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三等奖</w:t>
            </w:r>
          </w:p>
        </w:tc>
        <w:tc>
          <w:tcPr>
            <w:tcW w:w="2018" w:type="dxa"/>
            <w:shd w:val="clear" w:color="auto" w:fill="auto"/>
            <w:vAlign w:val="center"/>
          </w:tcPr>
          <w:p w14:paraId="044BD27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代莹莹、胡宗翔</w:t>
            </w:r>
          </w:p>
        </w:tc>
      </w:tr>
      <w:tr w14:paraId="2D8F2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741" w:type="dxa"/>
            <w:shd w:val="clear" w:color="auto" w:fill="auto"/>
            <w:vAlign w:val="center"/>
          </w:tcPr>
          <w:p w14:paraId="50CAE5F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幼儿教育技能</w:t>
            </w:r>
          </w:p>
        </w:tc>
        <w:tc>
          <w:tcPr>
            <w:tcW w:w="1499" w:type="dxa"/>
            <w:shd w:val="clear" w:color="auto" w:fill="auto"/>
            <w:vAlign w:val="center"/>
          </w:tcPr>
          <w:p w14:paraId="71AE62D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学生个人赛</w:t>
            </w:r>
          </w:p>
        </w:tc>
        <w:tc>
          <w:tcPr>
            <w:tcW w:w="1840" w:type="dxa"/>
            <w:shd w:val="clear" w:color="auto" w:fill="auto"/>
            <w:vAlign w:val="center"/>
          </w:tcPr>
          <w:p w14:paraId="2EB40D4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王淑贤</w:t>
            </w:r>
          </w:p>
        </w:tc>
        <w:tc>
          <w:tcPr>
            <w:tcW w:w="1214" w:type="dxa"/>
            <w:shd w:val="clear" w:color="auto" w:fill="auto"/>
            <w:vAlign w:val="center"/>
          </w:tcPr>
          <w:p w14:paraId="6DD9A45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三等奖</w:t>
            </w:r>
          </w:p>
        </w:tc>
        <w:tc>
          <w:tcPr>
            <w:tcW w:w="2018" w:type="dxa"/>
            <w:shd w:val="clear" w:color="auto" w:fill="auto"/>
            <w:vAlign w:val="center"/>
          </w:tcPr>
          <w:p w14:paraId="76C252C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戴星宇</w:t>
            </w:r>
          </w:p>
        </w:tc>
      </w:tr>
      <w:tr w14:paraId="1D759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741" w:type="dxa"/>
            <w:shd w:val="clear" w:color="auto" w:fill="auto"/>
            <w:vAlign w:val="center"/>
          </w:tcPr>
          <w:p w14:paraId="73E0143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幼儿教育技能</w:t>
            </w:r>
          </w:p>
        </w:tc>
        <w:tc>
          <w:tcPr>
            <w:tcW w:w="1499" w:type="dxa"/>
            <w:shd w:val="clear" w:color="auto" w:fill="auto"/>
            <w:vAlign w:val="center"/>
          </w:tcPr>
          <w:p w14:paraId="2170135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学生个人赛</w:t>
            </w:r>
          </w:p>
        </w:tc>
        <w:tc>
          <w:tcPr>
            <w:tcW w:w="1840" w:type="dxa"/>
            <w:shd w:val="clear" w:color="auto" w:fill="auto"/>
            <w:vAlign w:val="center"/>
          </w:tcPr>
          <w:p w14:paraId="7BB091B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刘心语</w:t>
            </w:r>
          </w:p>
        </w:tc>
        <w:tc>
          <w:tcPr>
            <w:tcW w:w="1214" w:type="dxa"/>
            <w:shd w:val="clear" w:color="auto" w:fill="auto"/>
            <w:vAlign w:val="center"/>
          </w:tcPr>
          <w:p w14:paraId="34A7BF4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三等奖</w:t>
            </w:r>
          </w:p>
        </w:tc>
        <w:tc>
          <w:tcPr>
            <w:tcW w:w="2018" w:type="dxa"/>
            <w:shd w:val="clear" w:color="auto" w:fill="auto"/>
            <w:vAlign w:val="center"/>
          </w:tcPr>
          <w:p w14:paraId="654034F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戴星宇</w:t>
            </w:r>
          </w:p>
        </w:tc>
      </w:tr>
      <w:tr w14:paraId="66AA6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741" w:type="dxa"/>
            <w:shd w:val="clear" w:color="auto" w:fill="auto"/>
            <w:vAlign w:val="center"/>
          </w:tcPr>
          <w:p w14:paraId="5A6E84A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幼儿创客设计</w:t>
            </w:r>
          </w:p>
        </w:tc>
        <w:tc>
          <w:tcPr>
            <w:tcW w:w="1499" w:type="dxa"/>
            <w:shd w:val="clear" w:color="auto" w:fill="auto"/>
            <w:vAlign w:val="center"/>
          </w:tcPr>
          <w:p w14:paraId="32E1FD1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学生团体赛</w:t>
            </w:r>
          </w:p>
        </w:tc>
        <w:tc>
          <w:tcPr>
            <w:tcW w:w="1840" w:type="dxa"/>
            <w:shd w:val="clear" w:color="auto" w:fill="auto"/>
            <w:vAlign w:val="center"/>
          </w:tcPr>
          <w:p w14:paraId="31229C6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舒允希、叶馨冉</w:t>
            </w:r>
          </w:p>
        </w:tc>
        <w:tc>
          <w:tcPr>
            <w:tcW w:w="1214" w:type="dxa"/>
            <w:shd w:val="clear" w:color="auto" w:fill="auto"/>
            <w:vAlign w:val="center"/>
          </w:tcPr>
          <w:p w14:paraId="6DCA2FC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三等奖</w:t>
            </w:r>
          </w:p>
        </w:tc>
        <w:tc>
          <w:tcPr>
            <w:tcW w:w="2018" w:type="dxa"/>
            <w:shd w:val="clear" w:color="auto" w:fill="auto"/>
            <w:vAlign w:val="center"/>
          </w:tcPr>
          <w:p w14:paraId="105D6D4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张海璐、刘全伟</w:t>
            </w:r>
          </w:p>
        </w:tc>
      </w:tr>
    </w:tbl>
    <w:p w14:paraId="0789AE11">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方正仿宋_GBK" w:hAnsi="方正仿宋_GBK" w:eastAsia="方正仿宋_GBK" w:cs="方正仿宋_GBK"/>
          <w:sz w:val="28"/>
          <w:szCs w:val="28"/>
          <w:lang w:val="en-US" w:eastAsia="zh-CN"/>
        </w:rPr>
      </w:pPr>
    </w:p>
    <w:p w14:paraId="3A8A240E">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方正仿宋_GBK" w:hAnsi="方正仿宋_GBK" w:eastAsia="方正仿宋_GBK" w:cs="方正仿宋_GBK"/>
          <w:sz w:val="28"/>
          <w:szCs w:val="28"/>
          <w:lang w:val="en-US" w:eastAsia="zh-CN"/>
        </w:rPr>
      </w:pPr>
    </w:p>
    <w:p w14:paraId="680532B4">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方正仿宋_GBK" w:hAnsi="方正仿宋_GBK" w:eastAsia="方正仿宋_GBK" w:cs="方正仿宋_GBK"/>
          <w:sz w:val="28"/>
          <w:szCs w:val="28"/>
          <w:lang w:val="en-US" w:eastAsia="zh-CN"/>
        </w:rPr>
      </w:pPr>
    </w:p>
    <w:p w14:paraId="7A9D079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方正仿宋_GBK" w:hAnsi="方正仿宋_GBK" w:eastAsia="方正仿宋_GBK" w:cs="方正仿宋_GBK"/>
          <w:sz w:val="28"/>
          <w:szCs w:val="28"/>
          <w:lang w:val="en-US" w:eastAsia="zh-CN"/>
        </w:rPr>
        <w:sectPr>
          <w:pgSz w:w="11906" w:h="16838"/>
          <w:pgMar w:top="1440" w:right="1800" w:bottom="1440" w:left="1800" w:header="851" w:footer="992" w:gutter="0"/>
          <w:pgNumType w:fmt="numberInDash" w:start="1"/>
          <w:cols w:space="425" w:num="1"/>
          <w:docGrid w:type="lines" w:linePitch="312" w:charSpace="0"/>
        </w:sectPr>
      </w:pPr>
    </w:p>
    <w:p w14:paraId="1064B3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drawing>
          <wp:inline distT="0" distB="0" distL="114300" distR="114300">
            <wp:extent cx="7061835" cy="9976485"/>
            <wp:effectExtent l="0" t="0" r="5715" b="5715"/>
            <wp:docPr id="10" name="图片 10" descr="封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封底"/>
                    <pic:cNvPicPr>
                      <a:picLocks noChangeAspect="1"/>
                    </pic:cNvPicPr>
                  </pic:nvPicPr>
                  <pic:blipFill>
                    <a:blip r:embed="rId28"/>
                    <a:stretch>
                      <a:fillRect/>
                    </a:stretch>
                  </pic:blipFill>
                  <pic:spPr>
                    <a:xfrm>
                      <a:off x="0" y="0"/>
                      <a:ext cx="7061835" cy="9976485"/>
                    </a:xfrm>
                    <a:prstGeom prst="rect">
                      <a:avLst/>
                    </a:prstGeom>
                  </pic:spPr>
                </pic:pic>
              </a:graphicData>
            </a:graphic>
          </wp:inline>
        </w:drawing>
      </w:r>
    </w:p>
    <w:sectPr>
      <w:footerReference r:id="rId4" w:type="default"/>
      <w:pgSz w:w="11906" w:h="16838"/>
      <w:pgMar w:top="720" w:right="210" w:bottom="720" w:left="210" w:header="851" w:footer="992" w:gutter="0"/>
      <w:pgNumType w:fmt="numberInDash"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ABB8475-49D4-4E02-98E6-AEE6AFBE2A4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2" w:fontKey="{F15B7881-2AAB-4F61-B0DC-3B7D72D9D8DB}"/>
  </w:font>
  <w:font w:name="Impact">
    <w:panose1 w:val="020B0806030902050204"/>
    <w:charset w:val="00"/>
    <w:family w:val="swiss"/>
    <w:pitch w:val="default"/>
    <w:sig w:usb0="00000287" w:usb1="00000000" w:usb2="00000000" w:usb3="00000000" w:csb0="2000009F" w:csb1="DFD70000"/>
    <w:embedRegular r:id="rId3" w:fontKey="{29E78D04-5733-45A9-8E91-13C9A431D93D}"/>
  </w:font>
  <w:font w:name="幼圆">
    <w:altName w:val="宋体"/>
    <w:panose1 w:val="02010509060101010101"/>
    <w:charset w:val="86"/>
    <w:family w:val="modern"/>
    <w:pitch w:val="default"/>
    <w:sig w:usb0="00000000" w:usb1="00000000" w:usb2="00000000" w:usb3="00000000" w:csb0="00040000" w:csb1="00000000"/>
    <w:embedRegular r:id="rId4" w:fontKey="{F96221A5-A0A2-450A-926E-3BE707227D91}"/>
  </w:font>
  <w:font w:name="方正黑体_GBK">
    <w:panose1 w:val="02010600010101010101"/>
    <w:charset w:val="86"/>
    <w:family w:val="auto"/>
    <w:pitch w:val="default"/>
    <w:sig w:usb0="00000001" w:usb1="080E0000" w:usb2="00000000" w:usb3="00000000" w:csb0="00040000" w:csb1="00000000"/>
    <w:embedRegular r:id="rId5" w:fontKey="{60D5DAE9-3330-498C-AF50-D7CC35F0A2A7}"/>
  </w:font>
  <w:font w:name="方正楷体_GBK">
    <w:panose1 w:val="02000000000000000000"/>
    <w:charset w:val="86"/>
    <w:family w:val="auto"/>
    <w:pitch w:val="default"/>
    <w:sig w:usb0="800002BF" w:usb1="38CF7CFA" w:usb2="00000016" w:usb3="00000000" w:csb0="00040000" w:csb1="00000000"/>
    <w:embedRegular r:id="rId6" w:fontKey="{05AB3B65-1BF9-483A-8B22-3CB374F8A246}"/>
  </w:font>
  <w:font w:name="方正仿宋_GBK">
    <w:panose1 w:val="02000000000000000000"/>
    <w:charset w:val="86"/>
    <w:family w:val="auto"/>
    <w:pitch w:val="default"/>
    <w:sig w:usb0="A00002BF" w:usb1="38CF7CFA" w:usb2="00082016" w:usb3="00000000" w:csb0="00040001" w:csb1="00000000"/>
    <w:embedRegular r:id="rId7" w:fontKey="{D69AF7BE-E6A9-479A-99B0-351440162765}"/>
  </w:font>
  <w:font w:name="仿宋">
    <w:panose1 w:val="02010609060101010101"/>
    <w:charset w:val="86"/>
    <w:family w:val="auto"/>
    <w:pitch w:val="default"/>
    <w:sig w:usb0="800002BF" w:usb1="38CF7CFA" w:usb2="00000016" w:usb3="00000000" w:csb0="00040001" w:csb1="00000000"/>
    <w:embedRegular r:id="rId8" w:fontKey="{C6D1317C-EDE8-42DB-BF53-40869A44DE9E}"/>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41BC9">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2E872D">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02E872D">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EDD37">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4912DF"/>
    <w:rsid w:val="161A15FA"/>
    <w:rsid w:val="176A7B54"/>
    <w:rsid w:val="17B632A5"/>
    <w:rsid w:val="1B0B6666"/>
    <w:rsid w:val="26DC207E"/>
    <w:rsid w:val="2F3E1E73"/>
    <w:rsid w:val="336743E3"/>
    <w:rsid w:val="38E5105E"/>
    <w:rsid w:val="3D9A1341"/>
    <w:rsid w:val="589A786F"/>
    <w:rsid w:val="5D531D8D"/>
    <w:rsid w:val="65783BC5"/>
    <w:rsid w:val="674912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6"/>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6">
    <w:name w:val="toc 3"/>
    <w:basedOn w:val="1"/>
    <w:next w:val="1"/>
    <w:qFormat/>
    <w:uiPriority w:val="0"/>
    <w:pPr>
      <w:ind w:left="840" w:leftChars="4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toc 2"/>
    <w:basedOn w:val="1"/>
    <w:next w:val="1"/>
    <w:link w:val="19"/>
    <w:qFormat/>
    <w:uiPriority w:val="0"/>
    <w:pPr>
      <w:ind w:left="420" w:leftChars="200"/>
    </w:pPr>
  </w:style>
  <w:style w:type="paragraph" w:styleId="11">
    <w:name w:val="Normal (Web)"/>
    <w:basedOn w:val="1"/>
    <w:qFormat/>
    <w:uiPriority w:val="0"/>
    <w:pPr>
      <w:spacing w:before="0" w:beforeAutospacing="1" w:after="0" w:afterAutospacing="1"/>
      <w:ind w:left="0" w:right="0"/>
      <w:jc w:val="left"/>
    </w:pPr>
    <w:rPr>
      <w:rFonts w:ascii="Calibri" w:hAnsi="Calibri" w:eastAsia="宋体" w:cs="Times New Roman"/>
      <w:kern w:val="0"/>
      <w:sz w:val="24"/>
      <w:lang w:val="en-US" w:eastAsia="zh-CN" w:bidi="ar"/>
    </w:r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customStyle="1" w:styleId="16">
    <w:name w:val="标题 1 Char"/>
    <w:link w:val="2"/>
    <w:qFormat/>
    <w:uiPriority w:val="0"/>
    <w:rPr>
      <w:rFonts w:hint="eastAsia" w:ascii="宋体" w:hAnsi="宋体" w:eastAsia="宋体" w:cs="宋体"/>
      <w:b/>
      <w:bCs/>
      <w:kern w:val="44"/>
      <w:sz w:val="48"/>
      <w:szCs w:val="48"/>
      <w:lang w:val="en-US" w:eastAsia="zh-CN" w:bidi="ar"/>
    </w:rPr>
  </w:style>
  <w:style w:type="character" w:customStyle="1" w:styleId="17">
    <w:name w:val="font61"/>
    <w:basedOn w:val="13"/>
    <w:qFormat/>
    <w:uiPriority w:val="0"/>
    <w:rPr>
      <w:rFonts w:hint="default" w:ascii="Times New Roman" w:hAnsi="Times New Roman" w:cs="Times New Roman"/>
      <w:color w:val="000000"/>
      <w:sz w:val="42"/>
      <w:szCs w:val="42"/>
      <w:u w:val="none"/>
    </w:rPr>
  </w:style>
  <w:style w:type="character" w:customStyle="1" w:styleId="18">
    <w:name w:val="font71"/>
    <w:basedOn w:val="13"/>
    <w:qFormat/>
    <w:uiPriority w:val="0"/>
    <w:rPr>
      <w:rFonts w:ascii="微软雅黑" w:hAnsi="微软雅黑" w:eastAsia="微软雅黑" w:cs="微软雅黑"/>
      <w:color w:val="000000"/>
      <w:sz w:val="42"/>
      <w:szCs w:val="42"/>
      <w:u w:val="none"/>
    </w:rPr>
  </w:style>
  <w:style w:type="character" w:customStyle="1" w:styleId="19">
    <w:name w:val="目录 2 Char"/>
    <w:link w:val="10"/>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chart" Target="charts/chart1.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0" Type="http://schemas.openxmlformats.org/officeDocument/2006/relationships/fontTable" Target="fontTable.xml"/><Relationship Id="rId3" Type="http://schemas.openxmlformats.org/officeDocument/2006/relationships/footer" Target="footer1.xml"/><Relationship Id="rId29" Type="http://schemas.openxmlformats.org/officeDocument/2006/relationships/customXml" Target="../customXml/item1.xml"/><Relationship Id="rId28" Type="http://schemas.openxmlformats.org/officeDocument/2006/relationships/image" Target="media/image21.jpeg"/><Relationship Id="rId27" Type="http://schemas.openxmlformats.org/officeDocument/2006/relationships/image" Target="media/image20.jpeg"/><Relationship Id="rId26" Type="http://schemas.openxmlformats.org/officeDocument/2006/relationships/image" Target="media/image19.jpeg"/><Relationship Id="rId25" Type="http://schemas.openxmlformats.org/officeDocument/2006/relationships/image" Target="media/image18.png"/><Relationship Id="rId24" Type="http://schemas.openxmlformats.org/officeDocument/2006/relationships/image" Target="media/image17.jpeg"/><Relationship Id="rId23" Type="http://schemas.openxmlformats.org/officeDocument/2006/relationships/image" Target="media/image16.jpeg"/><Relationship Id="rId22" Type="http://schemas.openxmlformats.org/officeDocument/2006/relationships/image" Target="media/image15.pn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jpeg"/><Relationship Id="rId15" Type="http://schemas.openxmlformats.org/officeDocument/2006/relationships/image" Target="media/image8.pn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chart" Target="charts/chart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1.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Sheet1!#REF!</c:f>
              <c:strCache>
                <c:ptCount val="1"/>
                <c:pt idx="0">
                  <c:v/>
                </c:pt>
              </c:strCache>
            </c:strRef>
          </c:tx>
          <c:spPr>
            <a:solidFill>
              <a:schemeClr val="accent1">
                <a:hueOff val="0"/>
                <a:alpha val="70000"/>
              </a:schemeClr>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rgbClr val="FFFFFF"/>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Sheet1!$A$1:$A$3</c:f>
              <c:strCache>
                <c:ptCount val="3"/>
                <c:pt idx="0">
                  <c:v>固定资产增长</c:v>
                </c:pt>
                <c:pt idx="1">
                  <c:v>双师型教师增长</c:v>
                </c:pt>
                <c:pt idx="2">
                  <c:v>教学仪器设备增长</c:v>
                </c:pt>
              </c:strCache>
            </c:strRef>
          </c:cat>
          <c:val>
            <c:numRef>
              <c:f>Sheet1!$B$1:$B$3</c:f>
              <c:numCache>
                <c:formatCode>0.00%</c:formatCode>
                <c:ptCount val="3"/>
                <c:pt idx="0">
                  <c:v>0.3981</c:v>
                </c:pt>
                <c:pt idx="1">
                  <c:v>1.4444</c:v>
                </c:pt>
                <c:pt idx="2">
                  <c:v>0.207</c:v>
                </c:pt>
              </c:numCache>
            </c:numRef>
          </c:val>
        </c:ser>
        <c:dLbls>
          <c:showLegendKey val="0"/>
          <c:showVal val="1"/>
          <c:showCatName val="0"/>
          <c:showSerName val="0"/>
          <c:showPercent val="0"/>
          <c:showBubbleSize val="0"/>
        </c:dLbls>
        <c:gapWidth val="130"/>
        <c:overlap val="30"/>
        <c:axId val="411252695"/>
        <c:axId val="632206856"/>
      </c:barChart>
      <c:catAx>
        <c:axId val="411252695"/>
        <c:scaling>
          <c:orientation val="minMax"/>
        </c:scaling>
        <c:delete val="0"/>
        <c:axPos val="b"/>
        <c:majorGridlines>
          <c:spPr>
            <a:ln w="6350" cap="flat" cmpd="sng" algn="ctr">
              <a:solidFill>
                <a:schemeClr val="tx1">
                  <a:lumMod val="50000"/>
                  <a:lumOff val="50000"/>
                  <a:alpha val="25000"/>
                </a:schemeClr>
              </a:solidFill>
              <a:round/>
            </a:ln>
            <a:effectLst/>
          </c:spPr>
        </c:majorGridlines>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632206856"/>
        <c:crosses val="autoZero"/>
        <c:auto val="1"/>
        <c:lblAlgn val="ctr"/>
        <c:lblOffset val="100"/>
        <c:noMultiLvlLbl val="0"/>
      </c:catAx>
      <c:valAx>
        <c:axId val="632206856"/>
        <c:scaling>
          <c:orientation val="minMax"/>
        </c:scaling>
        <c:delete val="1"/>
        <c:axPos val="l"/>
        <c:majorGridlines>
          <c:spPr>
            <a:ln w="6350" cap="flat" cmpd="sng" algn="ctr">
              <a:solidFill>
                <a:schemeClr val="tx1">
                  <a:lumMod val="50000"/>
                  <a:lumOff val="50000"/>
                  <a:alpha val="25000"/>
                </a:schemeClr>
              </a:solidFill>
              <a:round/>
            </a:ln>
            <a:effectLst/>
          </c:spPr>
        </c:majorGridlines>
        <c:numFmt formatCode="0.00%" sourceLinked="1"/>
        <c:majorTickMark val="none"/>
        <c:minorTickMark val="none"/>
        <c:tickLblPos val="nextTo"/>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411252695"/>
        <c:crosses val="autoZero"/>
        <c:crossBetween val="between"/>
      </c:valAx>
      <c:spPr>
        <a:noFill/>
        <a:ln>
          <a:noFill/>
        </a:ln>
        <a:effectLst/>
      </c:spPr>
    </c:plotArea>
    <c:plotVisOnly val="1"/>
    <c:dispBlanksAs val="gap"/>
    <c:showDLblsOverMax val="0"/>
    <c:extLst>
      <c:ext uri="{0b15fc19-7d7d-44ad-8c2d-2c3a37ce22c3}">
        <chartProps xmlns="https://web.wps.cn/et/2018/main" chartId="{0966a3c7-d174-4f26-ae21-c73ffb57fbe4}"/>
      </c:ext>
    </c:extLst>
  </c:chart>
  <c:spPr>
    <a:solidFill>
      <a:schemeClr val="bg1"/>
    </a:solidFill>
    <a:ln w="6350" cap="flat" cmpd="sng" algn="ctr">
      <a:solidFill>
        <a:schemeClr val="tx1">
          <a:lumMod val="50000"/>
          <a:lumOff val="50000"/>
          <a:alpha val="25000"/>
        </a:schemeClr>
      </a:solidFill>
      <a:round/>
    </a:ln>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2025年在校生年龄结构</c:v>
                </c:pt>
              </c:strCache>
            </c:strRef>
          </c:tx>
          <c:spPr>
            <a:scene3d>
              <a:camera prst="orthographicFront"/>
              <a:lightRig rig="threePt" dir="t"/>
            </a:scene3d>
            <a:sp3d contourW="9525"/>
          </c:spPr>
          <c:explosion val="0"/>
          <c:dPt>
            <c:idx val="0"/>
            <c:bubble3D val="0"/>
            <c:explosion val="10"/>
            <c:spPr>
              <a:solidFill>
                <a:schemeClr val="accent1"/>
              </a:solidFill>
              <a:ln>
                <a:solidFill>
                  <a:schemeClr val="bg1"/>
                </a:solidFill>
              </a:ln>
              <a:effectLst/>
            </c:spPr>
          </c:dPt>
          <c:dPt>
            <c:idx val="1"/>
            <c:bubble3D val="0"/>
            <c:explosion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eparator>
</c:separator>
              <c:extLst>
                <c:ext xmlns:c15="http://schemas.microsoft.com/office/drawing/2012/chart" uri="{CE6537A1-D6FC-4f65-9D91-7224C49458BB}"/>
              </c:extLst>
            </c:dLbl>
            <c:dLbl>
              <c:idx val="2"/>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eparator>
</c:separator>
              <c:extLst>
                <c:ext xmlns:c15="http://schemas.microsoft.com/office/drawing/2012/chart" uri="{CE6537A1-D6FC-4f65-9D91-7224C49458BB}"/>
              </c:extLst>
            </c:dLbl>
            <c:dLbl>
              <c:idx val="3"/>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eparator>
</c:separator>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14 岁及以下</c:v>
                </c:pt>
                <c:pt idx="1">
                  <c:v>15 岁</c:v>
                </c:pt>
                <c:pt idx="2">
                  <c:v>16岁</c:v>
                </c:pt>
                <c:pt idx="3">
                  <c:v>17岁</c:v>
                </c:pt>
                <c:pt idx="4">
                  <c:v>其他</c:v>
                </c:pt>
              </c:strCache>
            </c:strRef>
          </c:cat>
          <c:val>
            <c:numRef>
              <c:f>Sheet1!$B$2:$B$6</c:f>
              <c:numCache>
                <c:formatCode>0.00%</c:formatCode>
                <c:ptCount val="5"/>
                <c:pt idx="0">
                  <c:v>0.2062</c:v>
                </c:pt>
                <c:pt idx="1">
                  <c:v>0.3232</c:v>
                </c:pt>
                <c:pt idx="2">
                  <c:v>0.1209</c:v>
                </c:pt>
                <c:pt idx="3">
                  <c:v>0.2265</c:v>
                </c:pt>
                <c:pt idx="4">
                  <c:v>0.1232</c:v>
                </c:pt>
              </c:numCache>
            </c:numRef>
          </c:val>
        </c:ser>
        <c:dLbls>
          <c:showLegendKey val="0"/>
          <c:showVal val="0"/>
          <c:showCatName val="0"/>
          <c:showSerName val="0"/>
          <c:showPercent val="1"/>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cba8a09-d951-4fa0-a3c2-c10967fef12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9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1">
      <cs:styleClr val="auto"/>
    </cs:fillRef>
    <cs:effectRef idx="0"/>
    <cs:fontRef idx="minor">
      <a:schemeClr val="dk1"/>
    </cs:fontRef>
    <cs:spPr>
      <a:ln>
        <a:solidFill>
          <a:schemeClr val="bg1"/>
        </a:solidFill>
      </a:ln>
      <a:effectLst/>
      <a:scene3d>
        <a:camera prst="orthographicFront"/>
        <a:lightRig rig="threePt" dir="t"/>
      </a:scene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2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自定义 107">
    <a:dk1>
      <a:srgbClr val="000000"/>
    </a:dk1>
    <a:lt1>
      <a:srgbClr val="FFFFFF"/>
    </a:lt1>
    <a:dk2>
      <a:srgbClr val="44546A"/>
    </a:dk2>
    <a:lt2>
      <a:srgbClr val="E7E6E6"/>
    </a:lt2>
    <a:accent1>
      <a:srgbClr val="1D6FA9"/>
    </a:accent1>
    <a:accent2>
      <a:srgbClr val="39ADCE"/>
    </a:accent2>
    <a:accent3>
      <a:srgbClr val="8BC145"/>
    </a:accent3>
    <a:accent4>
      <a:srgbClr val="1D9A78"/>
    </a:accent4>
    <a:accent5>
      <a:srgbClr val="30C0B4"/>
    </a:accent5>
    <a:accent6>
      <a:srgbClr val="4874CB"/>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蓝色科技曲线画册"/>
      <sectRole val="1"/>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合肥东辰职业学校</Company>
  <Pages>33</Pages>
  <Words>11754</Words>
  <Characters>12774</Characters>
  <Lines>0</Lines>
  <Paragraphs>0</Paragraphs>
  <TotalTime>65</TotalTime>
  <ScaleCrop>false</ScaleCrop>
  <LinksUpToDate>false</LinksUpToDate>
  <CharactersWithSpaces>54699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2025-12-19T01:02:00Z</dcterms:created>
  <dc:creator>胡义超</dc:creator>
  <cp:lastModifiedBy>胡义超</cp:lastModifiedBy>
  <cp:lastPrinted>2025-12-24T06:14:00Z</cp:lastPrinted>
  <dcterms:modified xsi:type="dcterms:W3CDTF">2026-01-04T09:31:10Z</dcterms:modified>
  <dc:title>2025年度职业教育质量报告</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EE89FC28EEBF452097CAEA1AF8CB065C_11</vt:lpwstr>
  </property>
  <property fmtid="{D5CDD505-2E9C-101B-9397-08002B2CF9AE}" pid="4" name="KSOTemplateDocerSaveRecord">
    <vt:lpwstr>eyJoZGlkIjoiOTk0ZjAwMGYyNzQwM2M0Y2JmODE2M2IxMDZjNThjODQiLCJ1c2VySWQiOiIyNjg2NDAxMzEifQ==</vt:lpwstr>
  </property>
</Properties>
</file>